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D67" w:rsidRDefault="00CE1D67"/>
    <w:p w:rsidR="00D11721" w:rsidRDefault="00D11721"/>
    <w:p w:rsidR="00D11721" w:rsidRDefault="00D11721"/>
    <w:p w:rsidR="00D11721" w:rsidRDefault="00D11721"/>
    <w:p w:rsidR="00EC3DE3" w:rsidRDefault="00EC3DE3"/>
    <w:p w:rsidR="00EC3DE3" w:rsidRDefault="00EC3DE3"/>
    <w:p w:rsidR="00EC3DE3" w:rsidRDefault="00EC3DE3"/>
    <w:p w:rsidR="00D11721" w:rsidRPr="00D11721" w:rsidRDefault="00D11721" w:rsidP="00D11721">
      <w:pPr>
        <w:jc w:val="center"/>
        <w:rPr>
          <w:rFonts w:asciiTheme="majorEastAsia" w:eastAsiaTheme="majorEastAsia" w:hAnsiTheme="majorEastAsia"/>
          <w:sz w:val="40"/>
          <w:szCs w:val="40"/>
        </w:rPr>
      </w:pPr>
      <w:r w:rsidRPr="00D11721">
        <w:rPr>
          <w:rFonts w:asciiTheme="majorEastAsia" w:eastAsiaTheme="majorEastAsia" w:hAnsiTheme="majorEastAsia" w:hint="eastAsia"/>
          <w:sz w:val="40"/>
          <w:szCs w:val="40"/>
        </w:rPr>
        <w:t>第三セクターの経営健全化に関する指針</w:t>
      </w:r>
    </w:p>
    <w:p w:rsidR="00D11721" w:rsidRPr="00D11721" w:rsidRDefault="00D11721" w:rsidP="00D11721">
      <w:pPr>
        <w:jc w:val="center"/>
        <w:rPr>
          <w:rFonts w:asciiTheme="majorEastAsia" w:eastAsiaTheme="majorEastAsia" w:hAnsiTheme="majorEastAsia"/>
          <w:sz w:val="40"/>
          <w:szCs w:val="40"/>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627B12" w:rsidRDefault="00627B12">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Default="00D11721">
      <w:pPr>
        <w:rPr>
          <w:rFonts w:asciiTheme="majorEastAsia" w:eastAsiaTheme="majorEastAsia" w:hAnsiTheme="majorEastAsia"/>
        </w:rPr>
      </w:pPr>
    </w:p>
    <w:p w:rsidR="00D11721" w:rsidRPr="00D11721" w:rsidRDefault="00D11721" w:rsidP="00D11721">
      <w:pPr>
        <w:jc w:val="center"/>
        <w:rPr>
          <w:rFonts w:asciiTheme="majorEastAsia" w:eastAsiaTheme="majorEastAsia" w:hAnsiTheme="majorEastAsia"/>
          <w:sz w:val="40"/>
          <w:szCs w:val="40"/>
        </w:rPr>
      </w:pPr>
      <w:r w:rsidRPr="00D11721">
        <w:rPr>
          <w:rFonts w:asciiTheme="majorEastAsia" w:eastAsiaTheme="majorEastAsia" w:hAnsiTheme="majorEastAsia" w:hint="eastAsia"/>
          <w:sz w:val="40"/>
          <w:szCs w:val="40"/>
        </w:rPr>
        <w:t>平成30年</w:t>
      </w:r>
      <w:r w:rsidR="00B7576A">
        <w:rPr>
          <w:rFonts w:asciiTheme="majorEastAsia" w:eastAsiaTheme="majorEastAsia" w:hAnsiTheme="majorEastAsia" w:hint="eastAsia"/>
          <w:sz w:val="40"/>
          <w:szCs w:val="40"/>
        </w:rPr>
        <w:t>8</w:t>
      </w:r>
      <w:r w:rsidRPr="00D11721">
        <w:rPr>
          <w:rFonts w:asciiTheme="majorEastAsia" w:eastAsiaTheme="majorEastAsia" w:hAnsiTheme="majorEastAsia" w:hint="eastAsia"/>
          <w:sz w:val="40"/>
          <w:szCs w:val="40"/>
        </w:rPr>
        <w:t>月</w:t>
      </w:r>
      <w:r w:rsidR="00B7576A">
        <w:rPr>
          <w:rFonts w:asciiTheme="majorEastAsia" w:eastAsiaTheme="majorEastAsia" w:hAnsiTheme="majorEastAsia" w:hint="eastAsia"/>
          <w:sz w:val="40"/>
          <w:szCs w:val="40"/>
        </w:rPr>
        <w:t>28</w:t>
      </w:r>
      <w:r w:rsidRPr="00D11721">
        <w:rPr>
          <w:rFonts w:asciiTheme="majorEastAsia" w:eastAsiaTheme="majorEastAsia" w:hAnsiTheme="majorEastAsia" w:hint="eastAsia"/>
          <w:sz w:val="40"/>
          <w:szCs w:val="40"/>
        </w:rPr>
        <w:t>日</w:t>
      </w:r>
    </w:p>
    <w:p w:rsidR="00D11721" w:rsidRDefault="00D11721" w:rsidP="00D11721">
      <w:pPr>
        <w:jc w:val="center"/>
        <w:rPr>
          <w:rFonts w:asciiTheme="majorEastAsia" w:eastAsiaTheme="majorEastAsia" w:hAnsiTheme="majorEastAsia"/>
          <w:sz w:val="40"/>
          <w:szCs w:val="40"/>
        </w:rPr>
      </w:pPr>
      <w:r w:rsidRPr="00D11721">
        <w:rPr>
          <w:rFonts w:asciiTheme="majorEastAsia" w:eastAsiaTheme="majorEastAsia" w:hAnsiTheme="majorEastAsia" w:hint="eastAsia"/>
          <w:sz w:val="40"/>
          <w:szCs w:val="40"/>
        </w:rPr>
        <w:t>五ヶ瀬町</w:t>
      </w:r>
    </w:p>
    <w:p w:rsidR="00D11721" w:rsidRDefault="00D11721">
      <w:pPr>
        <w:widowControl/>
        <w:jc w:val="left"/>
        <w:rPr>
          <w:rFonts w:asciiTheme="majorEastAsia" w:eastAsiaTheme="majorEastAsia" w:hAnsiTheme="majorEastAsia"/>
          <w:sz w:val="40"/>
          <w:szCs w:val="40"/>
        </w:rPr>
      </w:pPr>
      <w:r>
        <w:rPr>
          <w:rFonts w:asciiTheme="majorEastAsia" w:eastAsiaTheme="majorEastAsia" w:hAnsiTheme="majorEastAsia"/>
          <w:sz w:val="40"/>
          <w:szCs w:val="40"/>
        </w:rPr>
        <w:br w:type="page"/>
      </w:r>
    </w:p>
    <w:p w:rsidR="00D11721" w:rsidRDefault="00D11721" w:rsidP="00D1172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目　　　　次</w:t>
      </w:r>
    </w:p>
    <w:p w:rsidR="00D11721" w:rsidRDefault="00D11721" w:rsidP="00D11721">
      <w:pPr>
        <w:jc w:val="center"/>
        <w:rPr>
          <w:rFonts w:asciiTheme="majorEastAsia" w:eastAsiaTheme="majorEastAsia" w:hAnsiTheme="majorEastAsia"/>
          <w:sz w:val="24"/>
          <w:szCs w:val="24"/>
        </w:rPr>
      </w:pPr>
    </w:p>
    <w:p w:rsidR="00D11721" w:rsidRDefault="00D11721" w:rsidP="00D11721">
      <w:pPr>
        <w:jc w:val="center"/>
        <w:rPr>
          <w:rFonts w:asciiTheme="majorEastAsia" w:eastAsiaTheme="majorEastAsia" w:hAnsiTheme="majorEastAsia"/>
          <w:sz w:val="24"/>
          <w:szCs w:val="24"/>
        </w:rPr>
      </w:pP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策定の趣旨</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第三セクターの現状</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Pr="00D11721" w:rsidRDefault="00D11721" w:rsidP="00D11721">
      <w:pPr>
        <w:pStyle w:val="a5"/>
        <w:numPr>
          <w:ilvl w:val="0"/>
          <w:numId w:val="1"/>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第三セクターとは</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全国の状況</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Pr="00D11721" w:rsidRDefault="00D11721" w:rsidP="00D11721">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本町の状況</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第三セクターの見直しの</w:t>
      </w:r>
      <w:r w:rsidR="007F0C60">
        <w:rPr>
          <w:rFonts w:asciiTheme="majorEastAsia" w:eastAsiaTheme="majorEastAsia" w:hAnsiTheme="majorEastAsia" w:hint="eastAsia"/>
          <w:sz w:val="24"/>
          <w:szCs w:val="24"/>
        </w:rPr>
        <w:t>方向性</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Pr="00D11721" w:rsidRDefault="00D11721" w:rsidP="00D11721">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自立化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健全化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民営化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統合</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Pr="00D11721" w:rsidRDefault="00D11721" w:rsidP="00D11721">
      <w:pPr>
        <w:pStyle w:val="a5"/>
        <w:numPr>
          <w:ilvl w:val="0"/>
          <w:numId w:val="2"/>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廃止</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2</w:t>
      </w: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町の関与の基本的な考え方</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3</w:t>
      </w:r>
    </w:p>
    <w:p w:rsidR="00D11721" w:rsidRPr="00D11721" w:rsidRDefault="00D11721" w:rsidP="00D11721">
      <w:pPr>
        <w:pStyle w:val="a5"/>
        <w:numPr>
          <w:ilvl w:val="0"/>
          <w:numId w:val="3"/>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第三セクターの点検・評価</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3</w:t>
      </w:r>
    </w:p>
    <w:p w:rsidR="00D11721" w:rsidRDefault="00D11721" w:rsidP="00D11721">
      <w:pPr>
        <w:pStyle w:val="a5"/>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経営責任の明確化と効率化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4</w:t>
      </w:r>
    </w:p>
    <w:p w:rsidR="00D11721" w:rsidRDefault="00D11721" w:rsidP="00D11721">
      <w:pPr>
        <w:pStyle w:val="a5"/>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財政支援の考え方</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・・・4</w:t>
      </w:r>
    </w:p>
    <w:p w:rsidR="00D11721" w:rsidRPr="00D11721" w:rsidRDefault="00D11721" w:rsidP="00D11721">
      <w:pPr>
        <w:pStyle w:val="a5"/>
        <w:numPr>
          <w:ilvl w:val="0"/>
          <w:numId w:val="3"/>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人的関与の見直し</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5</w:t>
      </w: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　第三セクターの抜本的改革を含む経営健全化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6</w:t>
      </w:r>
    </w:p>
    <w:p w:rsidR="00D11721" w:rsidRPr="00D11721" w:rsidRDefault="00D11721" w:rsidP="00D11721">
      <w:pPr>
        <w:pStyle w:val="a5"/>
        <w:numPr>
          <w:ilvl w:val="0"/>
          <w:numId w:val="4"/>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第三セクターの経営健全化についての役割分担</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6</w:t>
      </w:r>
    </w:p>
    <w:p w:rsidR="00D11721" w:rsidRDefault="00D11721" w:rsidP="00D11721">
      <w:pPr>
        <w:pStyle w:val="a5"/>
        <w:numPr>
          <w:ilvl w:val="0"/>
          <w:numId w:val="4"/>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抜本的改革を含む経営健全化</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6</w:t>
      </w:r>
    </w:p>
    <w:p w:rsidR="00D11721" w:rsidRDefault="00D11721" w:rsidP="00D11721">
      <w:pPr>
        <w:ind w:left="2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別紙１　抜本的改革を含む経営健全化の取り組みに係る検討のフローチャート</w:t>
      </w:r>
    </w:p>
    <w:p w:rsidR="009D25E7" w:rsidRDefault="009D25E7" w:rsidP="00D11721">
      <w:pPr>
        <w:ind w:left="2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7</w:t>
      </w:r>
    </w:p>
    <w:p w:rsidR="00D11721" w:rsidRPr="00D11721" w:rsidRDefault="00D11721" w:rsidP="00D11721">
      <w:pPr>
        <w:ind w:left="225"/>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別紙２　標準評価方式</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8</w:t>
      </w:r>
    </w:p>
    <w:p w:rsidR="00D11721" w:rsidRDefault="00D11721" w:rsidP="00D1172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６　第三セクターの活用</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9</w:t>
      </w:r>
    </w:p>
    <w:p w:rsidR="00D11721" w:rsidRPr="00D11721" w:rsidRDefault="00D11721" w:rsidP="00D11721">
      <w:pPr>
        <w:pStyle w:val="a5"/>
        <w:numPr>
          <w:ilvl w:val="0"/>
          <w:numId w:val="5"/>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民間企業の立地が期待できない地域における事業実施</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9</w:t>
      </w:r>
    </w:p>
    <w:p w:rsidR="00D11721" w:rsidRDefault="00D11721" w:rsidP="00D11721">
      <w:pPr>
        <w:pStyle w:val="a5"/>
        <w:numPr>
          <w:ilvl w:val="0"/>
          <w:numId w:val="5"/>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公共性、公益性が高い事業の効率的な実施</w:t>
      </w:r>
      <w:r w:rsidR="009D25E7">
        <w:rPr>
          <w:rFonts w:asciiTheme="majorEastAsia" w:eastAsiaTheme="majorEastAsia" w:hAnsiTheme="majorEastAsia" w:hint="eastAsia"/>
          <w:sz w:val="24"/>
          <w:szCs w:val="24"/>
        </w:rPr>
        <w:t xml:space="preserve">　　　　　　　・・・・</w:t>
      </w:r>
      <w:r w:rsidR="00EC3DE3">
        <w:rPr>
          <w:rFonts w:asciiTheme="majorEastAsia" w:eastAsiaTheme="majorEastAsia" w:hAnsiTheme="majorEastAsia" w:hint="eastAsia"/>
          <w:sz w:val="24"/>
          <w:szCs w:val="24"/>
        </w:rPr>
        <w:t>9</w:t>
      </w:r>
    </w:p>
    <w:p w:rsidR="003B48D8" w:rsidRDefault="00D11721" w:rsidP="003B48D8">
      <w:r>
        <w:rPr>
          <w:rFonts w:asciiTheme="majorEastAsia" w:eastAsiaTheme="majorEastAsia" w:hAnsiTheme="majorEastAsia"/>
          <w:sz w:val="24"/>
          <w:szCs w:val="24"/>
        </w:rPr>
        <w:br w:type="page"/>
      </w:r>
      <w:bookmarkStart w:id="0" w:name="_GoBack"/>
      <w:bookmarkEnd w:id="0"/>
    </w:p>
    <w:p w:rsid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lastRenderedPageBreak/>
        <w:t>１　策定の趣旨</w:t>
      </w:r>
    </w:p>
    <w:p w:rsidR="003B48D8" w:rsidRPr="003B48D8" w:rsidRDefault="003B48D8" w:rsidP="003B48D8">
      <w:pPr>
        <w:ind w:firstLineChars="100" w:firstLine="220"/>
        <w:jc w:val="left"/>
        <w:rPr>
          <w:rFonts w:asciiTheme="majorEastAsia" w:eastAsiaTheme="majorEastAsia" w:hAnsiTheme="majorEastAsia"/>
          <w:sz w:val="22"/>
        </w:rPr>
      </w:pPr>
      <w:r w:rsidRPr="003B48D8">
        <w:rPr>
          <w:rFonts w:asciiTheme="majorEastAsia" w:eastAsiaTheme="majorEastAsia" w:hAnsiTheme="majorEastAsia" w:hint="eastAsia"/>
          <w:sz w:val="22"/>
        </w:rPr>
        <w:t>本町における第三セクターは、地域産業の振興、住民サービスの維持・向上、地域雇用の拡大など「地域活性化」の実現を目的に設置されました。</w:t>
      </w:r>
    </w:p>
    <w:p w:rsidR="003B48D8" w:rsidRPr="003B48D8" w:rsidRDefault="003B48D8" w:rsidP="003B48D8">
      <w:pPr>
        <w:jc w:val="left"/>
        <w:rPr>
          <w:rFonts w:asciiTheme="majorEastAsia" w:eastAsiaTheme="majorEastAsia" w:hAnsiTheme="majorEastAsia"/>
          <w:sz w:val="22"/>
        </w:rPr>
      </w:pPr>
      <w:r w:rsidRPr="003B48D8">
        <w:rPr>
          <w:rFonts w:asciiTheme="majorEastAsia" w:eastAsiaTheme="majorEastAsia" w:hAnsiTheme="majorEastAsia" w:hint="eastAsia"/>
          <w:sz w:val="22"/>
        </w:rPr>
        <w:t xml:space="preserve">　しかしながら、社会経済情勢の急激な変化により、経営状態が深刻化するなど第三セクターを取り巻く環境は一段と厳しさを増しています。加えて、運営にかかる財政負担の増大など町の財政に大きな影響を及ぼす可能性があり、地方財政健全化法及び地方公会計制度により地方公共団体は、地方公営企業や第三セクター、公社なども含めた連結ベースでの自治体財政状況の公表が義務づけられ、安定的な経営</w:t>
      </w:r>
      <w:r>
        <w:rPr>
          <w:rFonts w:asciiTheme="majorEastAsia" w:eastAsiaTheme="majorEastAsia" w:hAnsiTheme="majorEastAsia" w:hint="eastAsia"/>
          <w:sz w:val="22"/>
        </w:rPr>
        <w:t>を</w:t>
      </w:r>
      <w:r w:rsidRPr="003B48D8">
        <w:rPr>
          <w:rFonts w:asciiTheme="majorEastAsia" w:eastAsiaTheme="majorEastAsia" w:hAnsiTheme="majorEastAsia" w:hint="eastAsia"/>
          <w:sz w:val="22"/>
        </w:rPr>
        <w:t>する</w:t>
      </w:r>
      <w:r>
        <w:rPr>
          <w:rFonts w:asciiTheme="majorEastAsia" w:eastAsiaTheme="majorEastAsia" w:hAnsiTheme="majorEastAsia" w:hint="eastAsia"/>
          <w:sz w:val="22"/>
        </w:rPr>
        <w:t>こと</w:t>
      </w:r>
      <w:r w:rsidRPr="003B48D8">
        <w:rPr>
          <w:rFonts w:asciiTheme="majorEastAsia" w:eastAsiaTheme="majorEastAsia" w:hAnsiTheme="majorEastAsia" w:hint="eastAsia"/>
          <w:sz w:val="22"/>
        </w:rPr>
        <w:t>が求められているところです。</w:t>
      </w:r>
    </w:p>
    <w:p w:rsidR="003B48D8" w:rsidRPr="003B48D8" w:rsidRDefault="003B48D8" w:rsidP="003B48D8">
      <w:pPr>
        <w:jc w:val="left"/>
        <w:rPr>
          <w:rFonts w:asciiTheme="majorEastAsia" w:eastAsiaTheme="majorEastAsia" w:hAnsiTheme="majorEastAsia"/>
          <w:sz w:val="22"/>
        </w:rPr>
      </w:pPr>
      <w:r w:rsidRPr="003B48D8">
        <w:rPr>
          <w:rFonts w:asciiTheme="majorEastAsia" w:eastAsiaTheme="majorEastAsia" w:hAnsiTheme="majorEastAsia" w:hint="eastAsia"/>
          <w:sz w:val="22"/>
        </w:rPr>
        <w:t xml:space="preserve">　こうした中で、総務相から「第三セクター等の抜本的改革に関する指針」（昭和２１年６月２３日）、「第三セクター等の経営健全化等に関する指針」（平成２６年８月５日）が示され、全国的にもその存廃を含めた抜本的な改革が進められています。</w:t>
      </w:r>
    </w:p>
    <w:p w:rsidR="003B48D8" w:rsidRPr="003B48D8" w:rsidRDefault="003B48D8" w:rsidP="003B48D8">
      <w:pPr>
        <w:jc w:val="left"/>
        <w:rPr>
          <w:rFonts w:asciiTheme="majorEastAsia" w:eastAsiaTheme="majorEastAsia" w:hAnsiTheme="majorEastAsia"/>
          <w:sz w:val="22"/>
        </w:rPr>
      </w:pPr>
      <w:r w:rsidRPr="003B48D8">
        <w:rPr>
          <w:rFonts w:asciiTheme="majorEastAsia" w:eastAsiaTheme="majorEastAsia" w:hAnsiTheme="majorEastAsia"/>
          <w:sz w:val="22"/>
        </w:rPr>
        <w:t xml:space="preserve">　</w:t>
      </w:r>
      <w:r w:rsidRPr="003B48D8">
        <w:rPr>
          <w:rFonts w:asciiTheme="majorEastAsia" w:eastAsiaTheme="majorEastAsia" w:hAnsiTheme="majorEastAsia" w:hint="eastAsia"/>
          <w:sz w:val="22"/>
        </w:rPr>
        <w:t>本町においても、より簡素で効率的な町政運営を目指し</w:t>
      </w:r>
      <w:r>
        <w:rPr>
          <w:rFonts w:asciiTheme="majorEastAsia" w:eastAsiaTheme="majorEastAsia" w:hAnsiTheme="majorEastAsia" w:hint="eastAsia"/>
          <w:sz w:val="22"/>
        </w:rPr>
        <w:t>、</w:t>
      </w:r>
      <w:r w:rsidRPr="003B48D8">
        <w:rPr>
          <w:rFonts w:asciiTheme="majorEastAsia" w:eastAsiaTheme="majorEastAsia" w:hAnsiTheme="majorEastAsia" w:hint="eastAsia"/>
          <w:sz w:val="22"/>
        </w:rPr>
        <w:t>更なる行政改革を進めるため、第</w:t>
      </w:r>
      <w:r>
        <w:rPr>
          <w:rFonts w:asciiTheme="majorEastAsia" w:eastAsiaTheme="majorEastAsia" w:hAnsiTheme="majorEastAsia" w:hint="eastAsia"/>
          <w:sz w:val="22"/>
        </w:rPr>
        <w:t>三</w:t>
      </w:r>
      <w:r w:rsidRPr="003B48D8">
        <w:rPr>
          <w:rFonts w:asciiTheme="majorEastAsia" w:eastAsiaTheme="majorEastAsia" w:hAnsiTheme="majorEastAsia" w:hint="eastAsia"/>
          <w:sz w:val="22"/>
        </w:rPr>
        <w:t>セクターの必要性等を考慮し、今後の在り方を含めた効率的で、効果的な運営を促進していく必要があります。</w:t>
      </w:r>
    </w:p>
    <w:p w:rsidR="003B48D8" w:rsidRPr="003B48D8" w:rsidRDefault="003B48D8" w:rsidP="003B48D8">
      <w:pPr>
        <w:jc w:val="left"/>
        <w:rPr>
          <w:rFonts w:asciiTheme="majorEastAsia" w:eastAsiaTheme="majorEastAsia" w:hAnsiTheme="majorEastAsia"/>
          <w:sz w:val="22"/>
        </w:rPr>
      </w:pPr>
      <w:r w:rsidRPr="003B48D8">
        <w:rPr>
          <w:rFonts w:asciiTheme="majorEastAsia" w:eastAsiaTheme="majorEastAsia" w:hAnsiTheme="majorEastAsia" w:hint="eastAsia"/>
          <w:sz w:val="22"/>
        </w:rPr>
        <w:t xml:space="preserve">　本指針は、第三セクター</w:t>
      </w:r>
      <w:r>
        <w:rPr>
          <w:rFonts w:asciiTheme="majorEastAsia" w:eastAsiaTheme="majorEastAsia" w:hAnsiTheme="majorEastAsia" w:hint="eastAsia"/>
          <w:sz w:val="22"/>
        </w:rPr>
        <w:t>等を</w:t>
      </w:r>
      <w:r w:rsidRPr="003B48D8">
        <w:rPr>
          <w:rFonts w:asciiTheme="majorEastAsia" w:eastAsiaTheme="majorEastAsia" w:hAnsiTheme="majorEastAsia" w:hint="eastAsia"/>
          <w:sz w:val="22"/>
        </w:rPr>
        <w:t>取り巻く環境が大幅に変化している状況を踏まえ、五ヶ瀬町の第三セクターに対する基本的な方針及び今後の在り方の方向性を示すとともに、</w:t>
      </w:r>
      <w:r>
        <w:rPr>
          <w:rFonts w:asciiTheme="majorEastAsia" w:eastAsiaTheme="majorEastAsia" w:hAnsiTheme="majorEastAsia" w:hint="eastAsia"/>
          <w:sz w:val="22"/>
        </w:rPr>
        <w:t>第三セクターが自らの判断と責任により、徹底した効率化・経営健全化と地域活性化等に資する自立的な経営を推進することを目的に</w:t>
      </w:r>
      <w:r w:rsidRPr="003B48D8">
        <w:rPr>
          <w:rFonts w:asciiTheme="majorEastAsia" w:eastAsiaTheme="majorEastAsia" w:hAnsiTheme="majorEastAsia" w:hint="eastAsia"/>
          <w:sz w:val="22"/>
        </w:rPr>
        <w:t>策定するものです。</w:t>
      </w:r>
    </w:p>
    <w:p w:rsidR="008729DE" w:rsidRPr="003B48D8" w:rsidRDefault="008729DE" w:rsidP="00D11721">
      <w:pPr>
        <w:jc w:val="left"/>
        <w:rPr>
          <w:rFonts w:asciiTheme="majorEastAsia" w:eastAsiaTheme="majorEastAsia" w:hAnsiTheme="majorEastAsia"/>
          <w:sz w:val="24"/>
          <w:szCs w:val="24"/>
        </w:rPr>
      </w:pPr>
    </w:p>
    <w:p w:rsidR="00D11721" w:rsidRP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２　第三セクターの現状</w:t>
      </w:r>
    </w:p>
    <w:p w:rsidR="00D11721" w:rsidRPr="00D11721" w:rsidRDefault="00D11721" w:rsidP="00D11721">
      <w:pPr>
        <w:pStyle w:val="a5"/>
        <w:numPr>
          <w:ilvl w:val="0"/>
          <w:numId w:val="7"/>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第三セクターとは</w:t>
      </w:r>
    </w:p>
    <w:p w:rsidR="00D11721" w:rsidRPr="00D11721" w:rsidRDefault="00D11721" w:rsidP="00D11721">
      <w:pPr>
        <w:ind w:left="567" w:firstLineChars="101" w:firstLine="222"/>
        <w:jc w:val="left"/>
        <w:rPr>
          <w:rFonts w:asciiTheme="majorEastAsia" w:eastAsiaTheme="majorEastAsia" w:hAnsiTheme="majorEastAsia"/>
          <w:sz w:val="22"/>
        </w:rPr>
      </w:pPr>
      <w:r w:rsidRPr="00D11721">
        <w:rPr>
          <w:rFonts w:asciiTheme="majorEastAsia" w:eastAsiaTheme="majorEastAsia" w:hAnsiTheme="majorEastAsia" w:hint="eastAsia"/>
          <w:sz w:val="22"/>
        </w:rPr>
        <w:t>地方公共団体が出資または出捐を行っている一般社団法人及び一般財団法人</w:t>
      </w:r>
      <w:r>
        <w:rPr>
          <w:rFonts w:asciiTheme="majorEastAsia" w:eastAsiaTheme="majorEastAsia" w:hAnsiTheme="majorEastAsia" w:hint="eastAsia"/>
          <w:sz w:val="22"/>
        </w:rPr>
        <w:t>（公益社団法人及び公益財団法人を含む。以下同じ）並びに会社法法人（以下「第三セクター」）をいうものとします。</w:t>
      </w:r>
    </w:p>
    <w:p w:rsidR="00D11721" w:rsidRDefault="00D11721" w:rsidP="00D11721">
      <w:pPr>
        <w:pStyle w:val="a5"/>
        <w:numPr>
          <w:ilvl w:val="0"/>
          <w:numId w:val="7"/>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全国の状況</w:t>
      </w:r>
    </w:p>
    <w:p w:rsidR="007F0C60" w:rsidRPr="00D11721" w:rsidRDefault="00D11721" w:rsidP="007F0C60">
      <w:pPr>
        <w:ind w:left="567" w:firstLineChars="118" w:firstLine="260"/>
        <w:jc w:val="left"/>
        <w:rPr>
          <w:rFonts w:asciiTheme="majorEastAsia" w:eastAsiaTheme="majorEastAsia" w:hAnsiTheme="majorEastAsia"/>
          <w:sz w:val="22"/>
        </w:rPr>
      </w:pPr>
      <w:r w:rsidRPr="00D11721">
        <w:rPr>
          <w:rFonts w:asciiTheme="majorEastAsia" w:eastAsiaTheme="majorEastAsia" w:hAnsiTheme="majorEastAsia" w:hint="eastAsia"/>
          <w:sz w:val="22"/>
        </w:rPr>
        <w:t>平成</w:t>
      </w:r>
      <w:r w:rsidR="007F0C60">
        <w:rPr>
          <w:rFonts w:asciiTheme="majorEastAsia" w:eastAsiaTheme="majorEastAsia" w:hAnsiTheme="majorEastAsia" w:hint="eastAsia"/>
          <w:sz w:val="22"/>
        </w:rPr>
        <w:t>２８</w:t>
      </w:r>
      <w:r>
        <w:rPr>
          <w:rFonts w:asciiTheme="majorEastAsia" w:eastAsiaTheme="majorEastAsia" w:hAnsiTheme="majorEastAsia" w:hint="eastAsia"/>
          <w:sz w:val="22"/>
        </w:rPr>
        <w:t>年</w:t>
      </w:r>
      <w:r w:rsidR="007F0C60">
        <w:rPr>
          <w:rFonts w:asciiTheme="majorEastAsia" w:eastAsiaTheme="majorEastAsia" w:hAnsiTheme="majorEastAsia" w:hint="eastAsia"/>
          <w:sz w:val="22"/>
        </w:rPr>
        <w:t>３</w:t>
      </w:r>
      <w:r>
        <w:rPr>
          <w:rFonts w:asciiTheme="majorEastAsia" w:eastAsiaTheme="majorEastAsia" w:hAnsiTheme="majorEastAsia" w:hint="eastAsia"/>
          <w:sz w:val="22"/>
        </w:rPr>
        <w:t>月</w:t>
      </w:r>
      <w:r w:rsidR="007F0C60">
        <w:rPr>
          <w:rFonts w:asciiTheme="majorEastAsia" w:eastAsiaTheme="majorEastAsia" w:hAnsiTheme="majorEastAsia" w:hint="eastAsia"/>
          <w:sz w:val="22"/>
        </w:rPr>
        <w:t>３１</w:t>
      </w:r>
      <w:r>
        <w:rPr>
          <w:rFonts w:asciiTheme="majorEastAsia" w:eastAsiaTheme="majorEastAsia" w:hAnsiTheme="majorEastAsia" w:hint="eastAsia"/>
          <w:sz w:val="22"/>
        </w:rPr>
        <w:t>日現在、第三セクターは、７，５３２法人（社団・財団法人（特例民法法人を含む）</w:t>
      </w:r>
      <w:r w:rsidR="007F0C60">
        <w:rPr>
          <w:rFonts w:asciiTheme="majorEastAsia" w:eastAsiaTheme="majorEastAsia" w:hAnsiTheme="majorEastAsia" w:hint="eastAsia"/>
          <w:sz w:val="22"/>
        </w:rPr>
        <w:t>３，１５６法人、会社法法人３，４５９法人、地方三公社７９５法人、地方独立行政法人１２２法人</w:t>
      </w:r>
      <w:r>
        <w:rPr>
          <w:rFonts w:asciiTheme="majorEastAsia" w:eastAsiaTheme="majorEastAsia" w:hAnsiTheme="majorEastAsia" w:hint="eastAsia"/>
          <w:sz w:val="22"/>
        </w:rPr>
        <w:t>）</w:t>
      </w:r>
      <w:r w:rsidR="007F0C60">
        <w:rPr>
          <w:rFonts w:asciiTheme="majorEastAsia" w:eastAsiaTheme="majorEastAsia" w:hAnsiTheme="majorEastAsia" w:hint="eastAsia"/>
          <w:sz w:val="22"/>
        </w:rPr>
        <w:t>であり、平成２７年度の調査（７，６０４法人）に比べ、７２法人、約０．９％減少しています。</w:t>
      </w:r>
    </w:p>
    <w:p w:rsidR="00D11721" w:rsidRDefault="00D11721" w:rsidP="00D11721">
      <w:pPr>
        <w:pStyle w:val="a5"/>
        <w:numPr>
          <w:ilvl w:val="0"/>
          <w:numId w:val="7"/>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本町の状況</w:t>
      </w:r>
    </w:p>
    <w:p w:rsidR="007F0C60" w:rsidRDefault="007F0C60" w:rsidP="007F0C60">
      <w:pPr>
        <w:ind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本指針の対象となる団体は、本町が主体的に設置し出資または出捐した法人で、地方自治法２４３条の３第２項により議会に対し経営状況を報告している法人及び同法第１９９条第７項により監査委員による監査対象となる法人とします。</w:t>
      </w:r>
    </w:p>
    <w:tbl>
      <w:tblPr>
        <w:tblStyle w:val="a6"/>
        <w:tblW w:w="0" w:type="auto"/>
        <w:tblInd w:w="250" w:type="dxa"/>
        <w:tblLook w:val="04A0"/>
      </w:tblPr>
      <w:tblGrid>
        <w:gridCol w:w="1276"/>
        <w:gridCol w:w="1429"/>
        <w:gridCol w:w="1497"/>
        <w:gridCol w:w="1497"/>
        <w:gridCol w:w="1166"/>
        <w:gridCol w:w="2207"/>
      </w:tblGrid>
      <w:tr w:rsidR="007F0C60" w:rsidTr="00C9717D">
        <w:tc>
          <w:tcPr>
            <w:tcW w:w="1276" w:type="dxa"/>
            <w:vAlign w:val="center"/>
          </w:tcPr>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法人種別</w:t>
            </w:r>
          </w:p>
        </w:tc>
        <w:tc>
          <w:tcPr>
            <w:tcW w:w="1429" w:type="dxa"/>
            <w:vAlign w:val="center"/>
          </w:tcPr>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法人名</w:t>
            </w:r>
          </w:p>
        </w:tc>
        <w:tc>
          <w:tcPr>
            <w:tcW w:w="1497" w:type="dxa"/>
            <w:vAlign w:val="center"/>
          </w:tcPr>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出資等総額</w:t>
            </w:r>
          </w:p>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（千円）</w:t>
            </w:r>
          </w:p>
        </w:tc>
        <w:tc>
          <w:tcPr>
            <w:tcW w:w="1497" w:type="dxa"/>
            <w:vAlign w:val="center"/>
          </w:tcPr>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町出資等額</w:t>
            </w:r>
          </w:p>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（千円）</w:t>
            </w:r>
          </w:p>
        </w:tc>
        <w:tc>
          <w:tcPr>
            <w:tcW w:w="1166" w:type="dxa"/>
            <w:vAlign w:val="center"/>
          </w:tcPr>
          <w:p w:rsidR="00627B12"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出資等</w:t>
            </w:r>
          </w:p>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比率</w:t>
            </w:r>
          </w:p>
        </w:tc>
        <w:tc>
          <w:tcPr>
            <w:tcW w:w="2207" w:type="dxa"/>
            <w:vAlign w:val="center"/>
          </w:tcPr>
          <w:p w:rsidR="007F0C60" w:rsidRDefault="007F0C60" w:rsidP="007F0C60">
            <w:pPr>
              <w:jc w:val="center"/>
              <w:rPr>
                <w:rFonts w:asciiTheme="majorEastAsia" w:eastAsiaTheme="majorEastAsia" w:hAnsiTheme="majorEastAsia"/>
                <w:sz w:val="22"/>
              </w:rPr>
            </w:pPr>
            <w:r>
              <w:rPr>
                <w:rFonts w:asciiTheme="majorEastAsia" w:eastAsiaTheme="majorEastAsia" w:hAnsiTheme="majorEastAsia" w:hint="eastAsia"/>
                <w:sz w:val="22"/>
              </w:rPr>
              <w:t>設立年月日</w:t>
            </w:r>
          </w:p>
        </w:tc>
      </w:tr>
      <w:tr w:rsidR="007F0C60" w:rsidTr="00C9717D">
        <w:tc>
          <w:tcPr>
            <w:tcW w:w="1276" w:type="dxa"/>
            <w:vAlign w:val="center"/>
          </w:tcPr>
          <w:p w:rsidR="007F0C60" w:rsidRDefault="007F0C60" w:rsidP="007F0C60">
            <w:pPr>
              <w:jc w:val="left"/>
              <w:rPr>
                <w:rFonts w:asciiTheme="majorEastAsia" w:eastAsiaTheme="majorEastAsia" w:hAnsiTheme="majorEastAsia"/>
                <w:sz w:val="22"/>
              </w:rPr>
            </w:pPr>
            <w:r>
              <w:rPr>
                <w:rFonts w:asciiTheme="majorEastAsia" w:eastAsiaTheme="majorEastAsia" w:hAnsiTheme="majorEastAsia" w:hint="eastAsia"/>
                <w:sz w:val="22"/>
              </w:rPr>
              <w:t>株式会社</w:t>
            </w:r>
          </w:p>
        </w:tc>
        <w:tc>
          <w:tcPr>
            <w:tcW w:w="1429" w:type="dxa"/>
            <w:vAlign w:val="center"/>
          </w:tcPr>
          <w:p w:rsidR="007F0C60" w:rsidRDefault="007F0C60" w:rsidP="007F0C60">
            <w:pPr>
              <w:jc w:val="left"/>
              <w:rPr>
                <w:rFonts w:asciiTheme="majorEastAsia" w:eastAsiaTheme="majorEastAsia" w:hAnsiTheme="majorEastAsia"/>
                <w:sz w:val="22"/>
              </w:rPr>
            </w:pPr>
            <w:r>
              <w:rPr>
                <w:rFonts w:asciiTheme="majorEastAsia" w:eastAsiaTheme="majorEastAsia" w:hAnsiTheme="majorEastAsia" w:hint="eastAsia"/>
                <w:sz w:val="22"/>
              </w:rPr>
              <w:t>五ヶ瀬ハイランド</w:t>
            </w:r>
          </w:p>
        </w:tc>
        <w:tc>
          <w:tcPr>
            <w:tcW w:w="1497"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300,000</w:t>
            </w:r>
          </w:p>
        </w:tc>
        <w:tc>
          <w:tcPr>
            <w:tcW w:w="1497"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300,000</w:t>
            </w:r>
          </w:p>
        </w:tc>
        <w:tc>
          <w:tcPr>
            <w:tcW w:w="1166"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100.0％</w:t>
            </w:r>
          </w:p>
        </w:tc>
        <w:tc>
          <w:tcPr>
            <w:tcW w:w="2207" w:type="dxa"/>
            <w:vAlign w:val="center"/>
          </w:tcPr>
          <w:p w:rsidR="007F0C60" w:rsidRDefault="00627B12" w:rsidP="00627B12">
            <w:pPr>
              <w:jc w:val="center"/>
              <w:rPr>
                <w:rFonts w:asciiTheme="majorEastAsia" w:eastAsiaTheme="majorEastAsia" w:hAnsiTheme="majorEastAsia"/>
                <w:sz w:val="22"/>
              </w:rPr>
            </w:pPr>
            <w:r>
              <w:rPr>
                <w:rFonts w:asciiTheme="majorEastAsia" w:eastAsiaTheme="majorEastAsia" w:hAnsiTheme="majorEastAsia" w:hint="eastAsia"/>
                <w:sz w:val="22"/>
              </w:rPr>
              <w:t>平成6年7月1日</w:t>
            </w:r>
          </w:p>
        </w:tc>
      </w:tr>
      <w:tr w:rsidR="007F0C60" w:rsidTr="00C9717D">
        <w:tc>
          <w:tcPr>
            <w:tcW w:w="1276" w:type="dxa"/>
            <w:vAlign w:val="center"/>
          </w:tcPr>
          <w:p w:rsidR="007F0C60" w:rsidRDefault="007F0C60" w:rsidP="007F0C60">
            <w:pPr>
              <w:jc w:val="left"/>
              <w:rPr>
                <w:rFonts w:asciiTheme="majorEastAsia" w:eastAsiaTheme="majorEastAsia" w:hAnsiTheme="majorEastAsia"/>
                <w:sz w:val="22"/>
              </w:rPr>
            </w:pPr>
            <w:r>
              <w:rPr>
                <w:rFonts w:asciiTheme="majorEastAsia" w:eastAsiaTheme="majorEastAsia" w:hAnsiTheme="majorEastAsia" w:hint="eastAsia"/>
                <w:sz w:val="22"/>
              </w:rPr>
              <w:t>株式会社</w:t>
            </w:r>
          </w:p>
        </w:tc>
        <w:tc>
          <w:tcPr>
            <w:tcW w:w="1429" w:type="dxa"/>
            <w:vAlign w:val="center"/>
          </w:tcPr>
          <w:p w:rsidR="007F0C60" w:rsidRDefault="007F0C60" w:rsidP="007F0C60">
            <w:pPr>
              <w:jc w:val="left"/>
              <w:rPr>
                <w:rFonts w:asciiTheme="majorEastAsia" w:eastAsiaTheme="majorEastAsia" w:hAnsiTheme="majorEastAsia"/>
                <w:sz w:val="22"/>
              </w:rPr>
            </w:pPr>
            <w:r>
              <w:rPr>
                <w:rFonts w:asciiTheme="majorEastAsia" w:eastAsiaTheme="majorEastAsia" w:hAnsiTheme="majorEastAsia" w:hint="eastAsia"/>
                <w:sz w:val="22"/>
              </w:rPr>
              <w:t>五ヶ瀬ワイナリー</w:t>
            </w:r>
          </w:p>
        </w:tc>
        <w:tc>
          <w:tcPr>
            <w:tcW w:w="1497"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50,000</w:t>
            </w:r>
          </w:p>
        </w:tc>
        <w:tc>
          <w:tcPr>
            <w:tcW w:w="1497"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50,000</w:t>
            </w:r>
          </w:p>
        </w:tc>
        <w:tc>
          <w:tcPr>
            <w:tcW w:w="1166" w:type="dxa"/>
            <w:vAlign w:val="center"/>
          </w:tcPr>
          <w:p w:rsidR="007F0C60" w:rsidRDefault="007F0C60" w:rsidP="007F0C60">
            <w:pPr>
              <w:jc w:val="right"/>
              <w:rPr>
                <w:rFonts w:asciiTheme="majorEastAsia" w:eastAsiaTheme="majorEastAsia" w:hAnsiTheme="majorEastAsia"/>
                <w:sz w:val="22"/>
              </w:rPr>
            </w:pPr>
            <w:r>
              <w:rPr>
                <w:rFonts w:asciiTheme="majorEastAsia" w:eastAsiaTheme="majorEastAsia" w:hAnsiTheme="majorEastAsia" w:hint="eastAsia"/>
                <w:sz w:val="22"/>
              </w:rPr>
              <w:t>100.0％</w:t>
            </w:r>
          </w:p>
        </w:tc>
        <w:tc>
          <w:tcPr>
            <w:tcW w:w="2207" w:type="dxa"/>
            <w:vAlign w:val="center"/>
          </w:tcPr>
          <w:p w:rsidR="007F0C60" w:rsidRDefault="00627B12" w:rsidP="00627B12">
            <w:pPr>
              <w:jc w:val="center"/>
              <w:rPr>
                <w:rFonts w:asciiTheme="majorEastAsia" w:eastAsiaTheme="majorEastAsia" w:hAnsiTheme="majorEastAsia"/>
                <w:sz w:val="22"/>
              </w:rPr>
            </w:pPr>
            <w:r>
              <w:rPr>
                <w:rFonts w:asciiTheme="majorEastAsia" w:eastAsiaTheme="majorEastAsia" w:hAnsiTheme="majorEastAsia" w:hint="eastAsia"/>
                <w:sz w:val="22"/>
              </w:rPr>
              <w:t>平成15年7月11日</w:t>
            </w:r>
          </w:p>
        </w:tc>
      </w:tr>
    </w:tbl>
    <w:p w:rsidR="007F0C60" w:rsidRPr="007F0C60" w:rsidRDefault="007F0C60" w:rsidP="007F0C60">
      <w:pPr>
        <w:ind w:left="567" w:firstLineChars="129" w:firstLine="284"/>
        <w:jc w:val="left"/>
        <w:rPr>
          <w:rFonts w:asciiTheme="majorEastAsia" w:eastAsiaTheme="majorEastAsia" w:hAnsiTheme="majorEastAsia"/>
          <w:sz w:val="22"/>
        </w:rPr>
      </w:pPr>
    </w:p>
    <w:p w:rsid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３　第三セクターの見直しの</w:t>
      </w:r>
      <w:r w:rsidR="007F0C60">
        <w:rPr>
          <w:rFonts w:asciiTheme="majorEastAsia" w:eastAsiaTheme="majorEastAsia" w:hAnsiTheme="majorEastAsia" w:hint="eastAsia"/>
          <w:sz w:val="24"/>
          <w:szCs w:val="24"/>
        </w:rPr>
        <w:t>方向性</w:t>
      </w:r>
    </w:p>
    <w:p w:rsidR="009A4156" w:rsidRDefault="009A4156" w:rsidP="00301E54">
      <w:pPr>
        <w:ind w:leftChars="135" w:left="283"/>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00442185">
        <w:rPr>
          <w:rFonts w:asciiTheme="majorEastAsia" w:eastAsiaTheme="majorEastAsia" w:hAnsiTheme="majorEastAsia" w:hint="eastAsia"/>
          <w:sz w:val="22"/>
        </w:rPr>
        <w:t>第三セクターについては、そのメリットが十分に発揮されるよう民間の資本や人材の参画を促進するなど、その経営ノウハウを積極的に活用する必要があります。</w:t>
      </w:r>
    </w:p>
    <w:p w:rsidR="00580966" w:rsidRDefault="00580966" w:rsidP="00301E54">
      <w:pPr>
        <w:ind w:leftChars="135" w:left="283"/>
        <w:jc w:val="left"/>
        <w:rPr>
          <w:rFonts w:asciiTheme="majorEastAsia" w:eastAsiaTheme="majorEastAsia" w:hAnsiTheme="majorEastAsia"/>
          <w:sz w:val="22"/>
        </w:rPr>
      </w:pPr>
      <w:r>
        <w:rPr>
          <w:rFonts w:asciiTheme="majorEastAsia" w:eastAsiaTheme="majorEastAsia" w:hAnsiTheme="majorEastAsia" w:hint="eastAsia"/>
          <w:sz w:val="22"/>
        </w:rPr>
        <w:t xml:space="preserve">　町は出資者として、必要性が高いと判断され経営ノウハウを引き続き活用していく第三セクターについては、法人経営の健全化・効率化に向けた計画的な取り組みと自立化を支援し、効果的・効率的な事業展開に向けた支援に取り組むとともに、存続の必要性が低いと判断さ</w:t>
      </w:r>
      <w:r>
        <w:rPr>
          <w:rFonts w:asciiTheme="majorEastAsia" w:eastAsiaTheme="majorEastAsia" w:hAnsiTheme="majorEastAsia" w:hint="eastAsia"/>
          <w:sz w:val="22"/>
        </w:rPr>
        <w:lastRenderedPageBreak/>
        <w:t>れる場合、または経営の悪化が懸念される第三セクターについては、民営化や廃止・統合等抜本的な見直しに取り組みます。</w:t>
      </w:r>
    </w:p>
    <w:p w:rsidR="00580966" w:rsidRDefault="00580966" w:rsidP="00301E54">
      <w:pPr>
        <w:ind w:leftChars="135" w:left="283" w:firstLineChars="128" w:firstLine="282"/>
        <w:jc w:val="left"/>
        <w:rPr>
          <w:rFonts w:asciiTheme="majorEastAsia" w:eastAsiaTheme="majorEastAsia" w:hAnsiTheme="majorEastAsia"/>
          <w:sz w:val="22"/>
        </w:rPr>
      </w:pPr>
      <w:r>
        <w:rPr>
          <w:rFonts w:asciiTheme="majorEastAsia" w:eastAsiaTheme="majorEastAsia" w:hAnsiTheme="majorEastAsia" w:hint="eastAsia"/>
          <w:sz w:val="22"/>
        </w:rPr>
        <w:t>その具体的な取り組みとして、対象となる法人と</w:t>
      </w:r>
      <w:r w:rsidR="0054082A">
        <w:rPr>
          <w:rFonts w:asciiTheme="majorEastAsia" w:eastAsiaTheme="majorEastAsia" w:hAnsiTheme="majorEastAsia" w:hint="eastAsia"/>
          <w:sz w:val="22"/>
        </w:rPr>
        <w:t>の</w:t>
      </w:r>
      <w:r>
        <w:rPr>
          <w:rFonts w:asciiTheme="majorEastAsia" w:eastAsiaTheme="majorEastAsia" w:hAnsiTheme="majorEastAsia" w:hint="eastAsia"/>
          <w:sz w:val="22"/>
        </w:rPr>
        <w:t>十分な協議や情報共有など綿密な連携を図ったうえで、第三セクターの必要性や役割、法人経営のあり方、事業内容等を確認し、次の（１）～（５）の考え方に基づき実施することとします。</w:t>
      </w:r>
    </w:p>
    <w:p w:rsidR="00442185" w:rsidRPr="00442185" w:rsidRDefault="00442185" w:rsidP="00442185">
      <w:pPr>
        <w:ind w:leftChars="270" w:left="567"/>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11721" w:rsidRDefault="00D11721" w:rsidP="00D11721">
      <w:pPr>
        <w:pStyle w:val="a5"/>
        <w:numPr>
          <w:ilvl w:val="0"/>
          <w:numId w:val="8"/>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自立化</w:t>
      </w:r>
    </w:p>
    <w:p w:rsidR="00580966" w:rsidRPr="00671EA9" w:rsidRDefault="00580966" w:rsidP="00580966">
      <w:pPr>
        <w:ind w:leftChars="175" w:left="567" w:hangingChars="83" w:hanging="199"/>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671EA9">
        <w:rPr>
          <w:rFonts w:asciiTheme="majorEastAsia" w:eastAsiaTheme="majorEastAsia" w:hAnsiTheme="majorEastAsia" w:hint="eastAsia"/>
          <w:sz w:val="22"/>
        </w:rPr>
        <w:t>経営的に健全で安定しており、専門知識等を活用して事業展開を図っている第三セクターについては、町の出資比率の引き下げや人的関与</w:t>
      </w:r>
      <w:r w:rsidR="0054082A">
        <w:rPr>
          <w:rFonts w:asciiTheme="majorEastAsia" w:eastAsiaTheme="majorEastAsia" w:hAnsiTheme="majorEastAsia" w:hint="eastAsia"/>
          <w:sz w:val="22"/>
        </w:rPr>
        <w:t>、財政的関与</w:t>
      </w:r>
      <w:r w:rsidRPr="00671EA9">
        <w:rPr>
          <w:rFonts w:asciiTheme="majorEastAsia" w:eastAsiaTheme="majorEastAsia" w:hAnsiTheme="majorEastAsia" w:hint="eastAsia"/>
          <w:sz w:val="22"/>
        </w:rPr>
        <w:t>を受けることなく事業を展開するよう法人経営の「自立化」を促進します。</w:t>
      </w:r>
    </w:p>
    <w:p w:rsidR="00580966" w:rsidRDefault="00D11721" w:rsidP="00580966">
      <w:pPr>
        <w:pStyle w:val="a5"/>
        <w:numPr>
          <w:ilvl w:val="0"/>
          <w:numId w:val="8"/>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健全化</w:t>
      </w:r>
    </w:p>
    <w:p w:rsidR="00580966" w:rsidRPr="00671EA9" w:rsidRDefault="00580966" w:rsidP="00671EA9">
      <w:pPr>
        <w:ind w:leftChars="202" w:left="563" w:hangingChars="58" w:hanging="139"/>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00671EA9" w:rsidRPr="00671EA9">
        <w:rPr>
          <w:rFonts w:asciiTheme="majorEastAsia" w:eastAsiaTheme="majorEastAsia" w:hAnsiTheme="majorEastAsia" w:hint="eastAsia"/>
          <w:sz w:val="22"/>
        </w:rPr>
        <w:t>自立化の達成には至らないが、今後も引き続き安定的、継続的に使命を果たすことが必要と判断される第三セクターについては、事業の見直し、経費削減などによるさらなる効率化や効果的な事業展開の推進など、業務活性化や経営改善を促し「健全化」に向けた取り組みを行います。</w:t>
      </w:r>
    </w:p>
    <w:p w:rsidR="00D11721" w:rsidRDefault="00D11721" w:rsidP="00D11721">
      <w:pPr>
        <w:pStyle w:val="a5"/>
        <w:numPr>
          <w:ilvl w:val="0"/>
          <w:numId w:val="8"/>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民営化</w:t>
      </w:r>
    </w:p>
    <w:p w:rsidR="00671EA9" w:rsidRPr="00671EA9" w:rsidRDefault="00671EA9" w:rsidP="00671EA9">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本来の目的を達成したが、引き続き社会的に大きな役割を果たしている第三セクターについては、保有株式の譲渡などによる「民営化」に向けた取り組みを行います。</w:t>
      </w:r>
    </w:p>
    <w:p w:rsidR="00D11721" w:rsidRDefault="00D11721" w:rsidP="00D11721">
      <w:pPr>
        <w:pStyle w:val="a5"/>
        <w:numPr>
          <w:ilvl w:val="0"/>
          <w:numId w:val="8"/>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統合</w:t>
      </w:r>
    </w:p>
    <w:p w:rsidR="00671EA9" w:rsidRPr="00671EA9" w:rsidRDefault="00671EA9" w:rsidP="00671EA9">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単独で事業に取り組むよりも、類似性を有する複数の法人が一体となった方が効果的・効率的と考えられる第三セクターについては「統合」を検討するとともに、組織運営の効率化や経費の節減を図るため、類似する法人等の管理部門の連携についても検討を行います。</w:t>
      </w:r>
    </w:p>
    <w:p w:rsidR="00D11721" w:rsidRDefault="00D11721" w:rsidP="00D11721">
      <w:pPr>
        <w:pStyle w:val="a5"/>
        <w:numPr>
          <w:ilvl w:val="0"/>
          <w:numId w:val="8"/>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廃止</w:t>
      </w:r>
    </w:p>
    <w:p w:rsidR="00671EA9" w:rsidRDefault="00671EA9" w:rsidP="00671EA9">
      <w:pPr>
        <w:pStyle w:val="a5"/>
        <w:ind w:leftChars="0" w:left="567" w:firstLineChars="129" w:firstLine="284"/>
        <w:jc w:val="left"/>
        <w:rPr>
          <w:rFonts w:asciiTheme="majorEastAsia" w:eastAsiaTheme="majorEastAsia" w:hAnsiTheme="majorEastAsia"/>
          <w:sz w:val="22"/>
        </w:rPr>
      </w:pPr>
      <w:r w:rsidRPr="00671EA9">
        <w:rPr>
          <w:rFonts w:asciiTheme="majorEastAsia" w:eastAsiaTheme="majorEastAsia" w:hAnsiTheme="majorEastAsia" w:hint="eastAsia"/>
          <w:sz w:val="22"/>
        </w:rPr>
        <w:t>町として所期の目的を達成し、その役割も終了している若しくは経営改善が極めて困難と判断される第三セクターについては、「廃止」を含めた抜本的見直しを行います。</w:t>
      </w:r>
    </w:p>
    <w:p w:rsidR="008729DE" w:rsidRPr="00671EA9" w:rsidRDefault="008729DE" w:rsidP="00671EA9">
      <w:pPr>
        <w:pStyle w:val="a5"/>
        <w:ind w:leftChars="0" w:left="567" w:firstLineChars="129" w:firstLine="284"/>
        <w:jc w:val="left"/>
        <w:rPr>
          <w:rFonts w:asciiTheme="majorEastAsia" w:eastAsiaTheme="majorEastAsia" w:hAnsiTheme="majorEastAsia"/>
          <w:sz w:val="22"/>
        </w:rPr>
      </w:pPr>
    </w:p>
    <w:p w:rsidR="00D11721" w:rsidRP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４　町の関与の基本的な考え方</w:t>
      </w:r>
    </w:p>
    <w:p w:rsidR="00D11721" w:rsidRDefault="00D11721" w:rsidP="00D11721">
      <w:pPr>
        <w:pStyle w:val="a5"/>
        <w:numPr>
          <w:ilvl w:val="0"/>
          <w:numId w:val="9"/>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第三セクターの点検・評価</w:t>
      </w:r>
    </w:p>
    <w:p w:rsidR="008729DE" w:rsidRDefault="008729DE" w:rsidP="008729DE">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第三セクター等は、行政機能を補完・代行する役割を果たしていますが、独立した経営主体である以上、自主的・主体的に健全経営に取り組むことが原則です。町は出資者として、出資額に応じた範囲において責任を負うべきものでありますが、その設立に大きく関与した立場から、健全な法人経営に向けた計画的な取り組みと自立化を支援しながら、出資等比率や経営形態等を踏まえた継続的かつ定期的な評価と適切な指導・監督・要請の関与を行います。</w:t>
      </w:r>
    </w:p>
    <w:p w:rsidR="00701D3A" w:rsidRDefault="00701D3A" w:rsidP="008729DE">
      <w:pPr>
        <w:pStyle w:val="a5"/>
        <w:ind w:leftChars="0" w:left="567" w:firstLineChars="129" w:firstLine="284"/>
        <w:jc w:val="left"/>
        <w:rPr>
          <w:rFonts w:asciiTheme="majorEastAsia" w:eastAsiaTheme="majorEastAsia" w:hAnsiTheme="majorEastAsia"/>
          <w:sz w:val="22"/>
        </w:rPr>
      </w:pPr>
    </w:p>
    <w:p w:rsidR="008729DE" w:rsidRDefault="008729DE" w:rsidP="008729DE">
      <w:pPr>
        <w:pStyle w:val="a5"/>
        <w:numPr>
          <w:ilvl w:val="1"/>
          <w:numId w:val="9"/>
        </w:numPr>
        <w:ind w:leftChars="0"/>
        <w:jc w:val="left"/>
        <w:rPr>
          <w:rFonts w:asciiTheme="majorEastAsia" w:eastAsiaTheme="majorEastAsia" w:hAnsiTheme="majorEastAsia"/>
          <w:sz w:val="24"/>
          <w:szCs w:val="24"/>
        </w:rPr>
      </w:pPr>
      <w:r w:rsidRPr="008729DE">
        <w:rPr>
          <w:rFonts w:asciiTheme="majorEastAsia" w:eastAsiaTheme="majorEastAsia" w:hAnsiTheme="majorEastAsia" w:hint="eastAsia"/>
          <w:sz w:val="24"/>
          <w:szCs w:val="24"/>
        </w:rPr>
        <w:t>実施事業の点検・評価の視点</w:t>
      </w:r>
    </w:p>
    <w:p w:rsidR="008729DE" w:rsidRDefault="008729DE" w:rsidP="008729DE">
      <w:pPr>
        <w:pStyle w:val="a5"/>
        <w:ind w:leftChars="0" w:left="1005"/>
        <w:jc w:val="left"/>
        <w:rPr>
          <w:rFonts w:asciiTheme="majorEastAsia" w:eastAsiaTheme="majorEastAsia" w:hAnsiTheme="majorEastAsia"/>
          <w:sz w:val="22"/>
        </w:rPr>
      </w:pPr>
      <w:r w:rsidRPr="008729DE">
        <w:rPr>
          <w:rFonts w:asciiTheme="majorEastAsia" w:eastAsiaTheme="majorEastAsia" w:hAnsiTheme="majorEastAsia" w:hint="eastAsia"/>
          <w:sz w:val="22"/>
        </w:rPr>
        <w:t>ア　事業の必要性</w:t>
      </w:r>
    </w:p>
    <w:p w:rsidR="008729DE" w:rsidRPr="008729DE" w:rsidRDefault="008729DE" w:rsidP="008729DE">
      <w:pPr>
        <w:pStyle w:val="a5"/>
        <w:ind w:leftChars="0" w:left="1005"/>
        <w:jc w:val="left"/>
        <w:rPr>
          <w:rFonts w:asciiTheme="majorEastAsia" w:eastAsiaTheme="majorEastAsia" w:hAnsiTheme="majorEastAsia"/>
          <w:sz w:val="22"/>
        </w:rPr>
      </w:pPr>
      <w:r>
        <w:rPr>
          <w:rFonts w:asciiTheme="majorEastAsia" w:eastAsiaTheme="majorEastAsia" w:hAnsiTheme="majorEastAsia" w:hint="eastAsia"/>
          <w:sz w:val="22"/>
        </w:rPr>
        <w:t xml:space="preserve">　　事業目標の達成度、公益性の有無、事業意識の希薄化等</w:t>
      </w:r>
    </w:p>
    <w:p w:rsidR="008729DE" w:rsidRDefault="008729DE" w:rsidP="008729DE">
      <w:pPr>
        <w:pStyle w:val="a5"/>
        <w:ind w:leftChars="0" w:left="1005"/>
        <w:jc w:val="left"/>
        <w:rPr>
          <w:rFonts w:asciiTheme="majorEastAsia" w:eastAsiaTheme="majorEastAsia" w:hAnsiTheme="majorEastAsia"/>
          <w:sz w:val="22"/>
        </w:rPr>
      </w:pPr>
      <w:r w:rsidRPr="008729DE">
        <w:rPr>
          <w:rFonts w:asciiTheme="majorEastAsia" w:eastAsiaTheme="majorEastAsia" w:hAnsiTheme="majorEastAsia" w:hint="eastAsia"/>
          <w:sz w:val="22"/>
        </w:rPr>
        <w:t>イ　第三セクターの方式</w:t>
      </w:r>
    </w:p>
    <w:p w:rsidR="008729DE" w:rsidRPr="008729DE" w:rsidRDefault="008729DE" w:rsidP="008729DE">
      <w:pPr>
        <w:pStyle w:val="a5"/>
        <w:ind w:leftChars="0" w:left="1005"/>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73C82">
        <w:rPr>
          <w:rFonts w:asciiTheme="majorEastAsia" w:eastAsiaTheme="majorEastAsia" w:hAnsiTheme="majorEastAsia" w:hint="eastAsia"/>
          <w:sz w:val="22"/>
        </w:rPr>
        <w:t>他の事業手法（直営・民営）との比較、民間参入可能性等</w:t>
      </w:r>
    </w:p>
    <w:p w:rsidR="008729DE" w:rsidRDefault="008729DE" w:rsidP="008729DE">
      <w:pPr>
        <w:pStyle w:val="a5"/>
        <w:ind w:leftChars="0" w:left="1005"/>
        <w:jc w:val="left"/>
        <w:rPr>
          <w:rFonts w:asciiTheme="majorEastAsia" w:eastAsiaTheme="majorEastAsia" w:hAnsiTheme="majorEastAsia"/>
          <w:sz w:val="22"/>
        </w:rPr>
      </w:pPr>
      <w:r w:rsidRPr="008729DE">
        <w:rPr>
          <w:rFonts w:asciiTheme="majorEastAsia" w:eastAsiaTheme="majorEastAsia" w:hAnsiTheme="majorEastAsia" w:hint="eastAsia"/>
          <w:sz w:val="22"/>
        </w:rPr>
        <w:t>ウ　利用者ニーズに対応したサービス提供</w:t>
      </w:r>
    </w:p>
    <w:p w:rsidR="00773C82" w:rsidRPr="008729DE" w:rsidRDefault="00773C82" w:rsidP="008729DE">
      <w:pPr>
        <w:pStyle w:val="a5"/>
        <w:ind w:leftChars="0" w:left="1005"/>
        <w:jc w:val="left"/>
        <w:rPr>
          <w:rFonts w:asciiTheme="majorEastAsia" w:eastAsiaTheme="majorEastAsia" w:hAnsiTheme="majorEastAsia"/>
          <w:sz w:val="22"/>
        </w:rPr>
      </w:pPr>
      <w:r>
        <w:rPr>
          <w:rFonts w:asciiTheme="majorEastAsia" w:eastAsiaTheme="majorEastAsia" w:hAnsiTheme="majorEastAsia" w:hint="eastAsia"/>
          <w:sz w:val="22"/>
        </w:rPr>
        <w:t xml:space="preserve">　　ニーズ把握（調査）、効果的・効率的サービス提供の実施状況等</w:t>
      </w:r>
    </w:p>
    <w:p w:rsidR="008729DE" w:rsidRDefault="008729DE" w:rsidP="008729DE">
      <w:pPr>
        <w:pStyle w:val="a5"/>
        <w:numPr>
          <w:ilvl w:val="1"/>
          <w:numId w:val="9"/>
        </w:numPr>
        <w:ind w:leftChars="0"/>
        <w:jc w:val="left"/>
        <w:rPr>
          <w:rFonts w:asciiTheme="majorEastAsia" w:eastAsiaTheme="majorEastAsia" w:hAnsiTheme="majorEastAsia"/>
          <w:sz w:val="24"/>
          <w:szCs w:val="24"/>
        </w:rPr>
      </w:pPr>
      <w:r w:rsidRPr="008729DE">
        <w:rPr>
          <w:rFonts w:asciiTheme="majorEastAsia" w:eastAsiaTheme="majorEastAsia" w:hAnsiTheme="majorEastAsia" w:hint="eastAsia"/>
          <w:sz w:val="24"/>
          <w:szCs w:val="24"/>
        </w:rPr>
        <w:t>経営状況の確認と助言指導</w:t>
      </w:r>
    </w:p>
    <w:p w:rsidR="00773C82" w:rsidRPr="00773C82" w:rsidRDefault="00773C82" w:rsidP="009D38A4">
      <w:pPr>
        <w:pStyle w:val="a5"/>
        <w:ind w:leftChars="479" w:left="1006"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財務諸表等を活用し経営状況を確認するとともに、日常業務を通じて法令等の遵守や税理士等</w:t>
      </w:r>
      <w:r w:rsidR="00200685">
        <w:rPr>
          <w:rFonts w:asciiTheme="majorEastAsia" w:eastAsiaTheme="majorEastAsia" w:hAnsiTheme="majorEastAsia" w:hint="eastAsia"/>
          <w:sz w:val="22"/>
        </w:rPr>
        <w:t>外部</w:t>
      </w:r>
      <w:r>
        <w:rPr>
          <w:rFonts w:asciiTheme="majorEastAsia" w:eastAsiaTheme="majorEastAsia" w:hAnsiTheme="majorEastAsia" w:hint="eastAsia"/>
          <w:sz w:val="22"/>
        </w:rPr>
        <w:t>の専門家など、必要に応じて助言・指導を行うこととします。</w:t>
      </w:r>
    </w:p>
    <w:p w:rsidR="008729DE" w:rsidRDefault="008729DE" w:rsidP="008729DE">
      <w:pPr>
        <w:pStyle w:val="a5"/>
        <w:numPr>
          <w:ilvl w:val="1"/>
          <w:numId w:val="9"/>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監査</w:t>
      </w:r>
    </w:p>
    <w:p w:rsidR="009D38A4" w:rsidRDefault="009D38A4" w:rsidP="009D38A4">
      <w:pPr>
        <w:pStyle w:val="a5"/>
        <w:ind w:leftChars="0" w:left="1005"/>
        <w:jc w:val="left"/>
        <w:rPr>
          <w:rFonts w:asciiTheme="majorEastAsia" w:eastAsiaTheme="majorEastAsia" w:hAnsiTheme="majorEastAsia"/>
          <w:sz w:val="22"/>
        </w:rPr>
      </w:pPr>
      <w:r w:rsidRPr="009D38A4">
        <w:rPr>
          <w:rFonts w:asciiTheme="majorEastAsia" w:eastAsiaTheme="majorEastAsia" w:hAnsiTheme="majorEastAsia" w:hint="eastAsia"/>
          <w:sz w:val="22"/>
        </w:rPr>
        <w:t>ア　監査委員</w:t>
      </w:r>
      <w:r>
        <w:rPr>
          <w:rFonts w:asciiTheme="majorEastAsia" w:eastAsiaTheme="majorEastAsia" w:hAnsiTheme="majorEastAsia" w:hint="eastAsia"/>
          <w:sz w:val="22"/>
        </w:rPr>
        <w:t>による監査</w:t>
      </w:r>
    </w:p>
    <w:p w:rsidR="009D38A4" w:rsidRDefault="009D38A4" w:rsidP="009D38A4">
      <w:pPr>
        <w:pStyle w:val="a5"/>
        <w:ind w:leftChars="0" w:left="1276"/>
        <w:jc w:val="left"/>
        <w:rPr>
          <w:rFonts w:asciiTheme="majorEastAsia" w:eastAsiaTheme="majorEastAsia" w:hAnsiTheme="majorEastAsia"/>
          <w:sz w:val="22"/>
        </w:rPr>
      </w:pPr>
      <w:r>
        <w:rPr>
          <w:rFonts w:asciiTheme="majorEastAsia" w:eastAsiaTheme="majorEastAsia" w:hAnsiTheme="majorEastAsia" w:hint="eastAsia"/>
          <w:sz w:val="22"/>
        </w:rPr>
        <w:t xml:space="preserve">　監査実施計画に基づき、第三セクターの経営の透明性を確保する観点から、財政的援助を行っている法人についての監査（地方自治法第１９９条第７項）を実施し、指定管理者としての公の施設の管理運営を受託している第三セクターについては、出納その他の事務の執行状況について監査します。</w:t>
      </w:r>
    </w:p>
    <w:p w:rsidR="009D38A4" w:rsidRDefault="009D38A4" w:rsidP="009D38A4">
      <w:pPr>
        <w:jc w:val="left"/>
        <w:rPr>
          <w:rFonts w:asciiTheme="majorEastAsia" w:eastAsiaTheme="majorEastAsia" w:hAnsiTheme="majorEastAsia"/>
          <w:sz w:val="22"/>
        </w:rPr>
      </w:pPr>
      <w:r>
        <w:rPr>
          <w:rFonts w:asciiTheme="majorEastAsia" w:eastAsiaTheme="majorEastAsia" w:hAnsiTheme="majorEastAsia" w:hint="eastAsia"/>
          <w:sz w:val="22"/>
        </w:rPr>
        <w:t xml:space="preserve">　　　　 イ　所管課による指導監査</w:t>
      </w:r>
    </w:p>
    <w:p w:rsidR="009D38A4" w:rsidRPr="009D38A4" w:rsidRDefault="009D38A4" w:rsidP="009D38A4">
      <w:pPr>
        <w:ind w:left="132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 xml:space="preserve">　　　　　　　第三セクターの経営状況等を点検・監査し、適切な助言・指導等に資することとします。　</w:t>
      </w:r>
    </w:p>
    <w:p w:rsidR="008729DE" w:rsidRDefault="008729DE" w:rsidP="008729DE">
      <w:pPr>
        <w:pStyle w:val="a5"/>
        <w:numPr>
          <w:ilvl w:val="1"/>
          <w:numId w:val="9"/>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情報公開</w:t>
      </w:r>
    </w:p>
    <w:p w:rsidR="009D38A4" w:rsidRDefault="009D38A4" w:rsidP="009D38A4">
      <w:pPr>
        <w:pStyle w:val="a5"/>
        <w:ind w:leftChars="0" w:left="1005"/>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2"/>
        </w:rPr>
        <w:t>町が出資し、本町の業務と密接な関係を有している第三セクターの状況については、その情報を住民へ積極的に提供し、説明責任を果たしていく必要があります。従って、第三セクター等に対する本町の関与の状況や第三セクター自身の経営状況等については、毎年度、町のホームページ</w:t>
      </w:r>
      <w:r w:rsidR="00723D2F">
        <w:rPr>
          <w:rFonts w:asciiTheme="majorEastAsia" w:eastAsiaTheme="majorEastAsia" w:hAnsiTheme="majorEastAsia" w:hint="eastAsia"/>
          <w:sz w:val="22"/>
        </w:rPr>
        <w:t>等</w:t>
      </w:r>
      <w:r>
        <w:rPr>
          <w:rFonts w:asciiTheme="majorEastAsia" w:eastAsiaTheme="majorEastAsia" w:hAnsiTheme="majorEastAsia" w:hint="eastAsia"/>
          <w:sz w:val="22"/>
        </w:rPr>
        <w:t>で公表することとします。</w:t>
      </w:r>
    </w:p>
    <w:p w:rsidR="009D38A4" w:rsidRPr="009D38A4" w:rsidRDefault="009D38A4" w:rsidP="009D38A4">
      <w:pPr>
        <w:pStyle w:val="a5"/>
        <w:ind w:leftChars="0" w:left="1005"/>
        <w:jc w:val="left"/>
        <w:rPr>
          <w:rFonts w:asciiTheme="majorEastAsia" w:eastAsiaTheme="majorEastAsia" w:hAnsiTheme="majorEastAsia"/>
          <w:sz w:val="22"/>
        </w:rPr>
      </w:pPr>
    </w:p>
    <w:p w:rsidR="00D11721" w:rsidRDefault="00D11721" w:rsidP="00D11721">
      <w:pPr>
        <w:pStyle w:val="a5"/>
        <w:numPr>
          <w:ilvl w:val="0"/>
          <w:numId w:val="9"/>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経営責任の明確化と効率化</w:t>
      </w:r>
    </w:p>
    <w:p w:rsidR="008729DE" w:rsidRDefault="004C0281" w:rsidP="004C0281">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本来、第三セクターは、独立した経営主体であり、独立採算を基本として自ら</w:t>
      </w:r>
      <w:r w:rsidR="0054082A">
        <w:rPr>
          <w:rFonts w:asciiTheme="majorEastAsia" w:eastAsiaTheme="majorEastAsia" w:hAnsiTheme="majorEastAsia" w:hint="eastAsia"/>
          <w:sz w:val="22"/>
        </w:rPr>
        <w:t>の</w:t>
      </w:r>
      <w:r>
        <w:rPr>
          <w:rFonts w:asciiTheme="majorEastAsia" w:eastAsiaTheme="majorEastAsia" w:hAnsiTheme="majorEastAsia" w:hint="eastAsia"/>
          <w:sz w:val="22"/>
        </w:rPr>
        <w:t>経営ノウハウによる自主的・主体的な健全経営に取り組むことが原則です。町は出資額に応じた範囲で責任を負うべきものでありますが、町が出資者として負う責任は、当然ながら出資等の範囲内（有限責任）であり、これを超えた責任は存在しないことを他の出資者や債権者等はもとより対外的に明確にしておくことが必要です。</w:t>
      </w:r>
    </w:p>
    <w:p w:rsidR="004C0281" w:rsidRDefault="004C0281" w:rsidP="004C0281">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逆に、経営者は、第三セクター等の経営が悪化した場合には、民事・刑事上の法的責任追及が行われる可能性があり得ることを十分に認識した上で、経営に当たることが必要です。</w:t>
      </w:r>
    </w:p>
    <w:p w:rsidR="004C0281" w:rsidRDefault="004C0281" w:rsidP="004C0281">
      <w:pPr>
        <w:pStyle w:val="a5"/>
        <w:ind w:leftChars="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以上のことから、経営者の職務権限や責任の明確化・効率化を図るため、次のような取組を行う必要があります。</w:t>
      </w:r>
    </w:p>
    <w:p w:rsidR="00627B12" w:rsidRDefault="00627B12" w:rsidP="004C0281">
      <w:pPr>
        <w:pStyle w:val="a5"/>
        <w:ind w:leftChars="0" w:left="567" w:firstLineChars="129" w:firstLine="284"/>
        <w:jc w:val="left"/>
        <w:rPr>
          <w:rFonts w:asciiTheme="majorEastAsia" w:eastAsiaTheme="majorEastAsia" w:hAnsiTheme="majorEastAsia"/>
          <w:sz w:val="22"/>
        </w:rPr>
      </w:pPr>
    </w:p>
    <w:p w:rsidR="004C0281" w:rsidRDefault="004C0281" w:rsidP="004C0281">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経営責任者は原則として常勤とし、役職員の選任について、職務権限や責任にふさわしい人材を広く求め、民間の経営ノウハウを含めた適切な知見を有する人材が積極的に登用されるよう</w:t>
      </w:r>
      <w:r w:rsidR="00604C69">
        <w:rPr>
          <w:rFonts w:asciiTheme="majorEastAsia" w:eastAsiaTheme="majorEastAsia" w:hAnsiTheme="majorEastAsia" w:hint="eastAsia"/>
          <w:sz w:val="22"/>
        </w:rPr>
        <w:t>努める必要があります。</w:t>
      </w:r>
    </w:p>
    <w:p w:rsidR="00604C69" w:rsidRDefault="00604C69" w:rsidP="004C0281">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第三セクターの役職員の数及び給与の見直し、組織機構のスリム化等、徹底した効率化について不断の取り組みを進める必要があります。</w:t>
      </w:r>
    </w:p>
    <w:p w:rsidR="00604C69" w:rsidRDefault="00604C69" w:rsidP="004C0281">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第三セクター経営において、民間の資金やノウハウを可能な限り活用するよう留意し、将来的には収支が安定し、継続的に自立した経営を行う見込みがある場合には、完全民営化（出資の解消）を視野に入れた経営のあり方を検討することも必要です。</w:t>
      </w:r>
    </w:p>
    <w:p w:rsidR="00701D3A" w:rsidRPr="009D38A4" w:rsidRDefault="00701D3A" w:rsidP="00701D3A">
      <w:pPr>
        <w:pStyle w:val="a5"/>
        <w:ind w:leftChars="0" w:left="1005"/>
        <w:jc w:val="left"/>
        <w:rPr>
          <w:rFonts w:asciiTheme="majorEastAsia" w:eastAsiaTheme="majorEastAsia" w:hAnsiTheme="majorEastAsia"/>
          <w:sz w:val="22"/>
        </w:rPr>
      </w:pPr>
    </w:p>
    <w:p w:rsidR="00D11721" w:rsidRDefault="00D11721" w:rsidP="00D11721">
      <w:pPr>
        <w:pStyle w:val="a5"/>
        <w:numPr>
          <w:ilvl w:val="0"/>
          <w:numId w:val="9"/>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財政支援の考え方</w:t>
      </w:r>
    </w:p>
    <w:p w:rsidR="00604C69" w:rsidRDefault="00604C69" w:rsidP="00787ED0">
      <w:pPr>
        <w:ind w:leftChars="107" w:left="709" w:hangingChars="220" w:hanging="484"/>
        <w:jc w:val="left"/>
        <w:rPr>
          <w:rFonts w:asciiTheme="majorEastAsia" w:eastAsiaTheme="majorEastAsia" w:hAnsiTheme="majorEastAsia"/>
          <w:sz w:val="22"/>
        </w:rPr>
      </w:pPr>
      <w:r>
        <w:rPr>
          <w:rFonts w:asciiTheme="majorEastAsia" w:eastAsiaTheme="majorEastAsia" w:hAnsiTheme="majorEastAsia" w:hint="eastAsia"/>
          <w:sz w:val="22"/>
        </w:rPr>
        <w:t xml:space="preserve">　　　第三セクターに対する財政支援には、出資（出捐）や補助金、委託料、債務保証（損失補償）、貸付金等がありますが、第三セクターの経営は自助努力により行われるべきであり、自立的経営を促す</w:t>
      </w:r>
      <w:r w:rsidR="00787ED0">
        <w:rPr>
          <w:rFonts w:asciiTheme="majorEastAsia" w:eastAsiaTheme="majorEastAsia" w:hAnsiTheme="majorEastAsia" w:hint="eastAsia"/>
          <w:sz w:val="22"/>
        </w:rPr>
        <w:t>観点から、積極的に自主財源の確保を要請するとともに、町からの関与は必要最小限にとどめることとします。また、収支の赤字を補填することを目的とした安易な財政的関与は行わないこととします。</w:t>
      </w:r>
    </w:p>
    <w:p w:rsidR="00627B12" w:rsidRDefault="00627B12" w:rsidP="00787ED0">
      <w:pPr>
        <w:ind w:leftChars="107" w:left="709" w:hangingChars="220" w:hanging="484"/>
        <w:jc w:val="left"/>
        <w:rPr>
          <w:rFonts w:asciiTheme="majorEastAsia" w:eastAsiaTheme="majorEastAsia" w:hAnsiTheme="majorEastAsia"/>
          <w:sz w:val="22"/>
        </w:rPr>
      </w:pPr>
    </w:p>
    <w:p w:rsidR="00787ED0" w:rsidRDefault="00787ED0" w:rsidP="00787ED0">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補助金、委託料等の見直し</w:t>
      </w:r>
    </w:p>
    <w:p w:rsidR="00787ED0" w:rsidRDefault="00787ED0"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補助金については、原則として事業実施に伴う補助金とすることとし、対象事業の公益性や事業内容、事業量などを十分に精査し、それぞれに応じた適正な支出を行います。</w:t>
      </w:r>
    </w:p>
    <w:p w:rsidR="00787ED0" w:rsidRDefault="00787ED0"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lastRenderedPageBreak/>
        <w:t>委託料については、事業に対して成果をあらかじめ明確にするとともに、</w:t>
      </w:r>
      <w:r w:rsidR="00627B12">
        <w:rPr>
          <w:rFonts w:asciiTheme="majorEastAsia" w:eastAsiaTheme="majorEastAsia" w:hAnsiTheme="majorEastAsia" w:hint="eastAsia"/>
          <w:sz w:val="22"/>
        </w:rPr>
        <w:t>金</w:t>
      </w:r>
      <w:r w:rsidR="0054082A">
        <w:rPr>
          <w:rFonts w:asciiTheme="majorEastAsia" w:eastAsiaTheme="majorEastAsia" w:hAnsiTheme="majorEastAsia" w:hint="eastAsia"/>
          <w:sz w:val="22"/>
        </w:rPr>
        <w:t>額</w:t>
      </w:r>
      <w:r>
        <w:rPr>
          <w:rFonts w:asciiTheme="majorEastAsia" w:eastAsiaTheme="majorEastAsia" w:hAnsiTheme="majorEastAsia" w:hint="eastAsia"/>
          <w:sz w:val="22"/>
        </w:rPr>
        <w:t>の算定にあたっては類似民間企業や統計資料等と比較・検証して必要最小限にとどめます。</w:t>
      </w:r>
    </w:p>
    <w:p w:rsidR="00787ED0" w:rsidRPr="00787ED0" w:rsidRDefault="00787ED0"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指定管理料については、</w:t>
      </w:r>
      <w:r w:rsidR="0054082A">
        <w:rPr>
          <w:rFonts w:asciiTheme="majorEastAsia" w:eastAsiaTheme="majorEastAsia" w:hAnsiTheme="majorEastAsia" w:hint="eastAsia"/>
          <w:sz w:val="22"/>
        </w:rPr>
        <w:t>対象施設での事業内容や業務量などを十分に精査するとともに、指定管理</w:t>
      </w:r>
      <w:r>
        <w:rPr>
          <w:rFonts w:asciiTheme="majorEastAsia" w:eastAsiaTheme="majorEastAsia" w:hAnsiTheme="majorEastAsia" w:hint="eastAsia"/>
          <w:sz w:val="22"/>
        </w:rPr>
        <w:t>者制度の特色を生かしながら算定基礎を明確にします。なお、指定管理者制度については、「五ヶ瀬町公の施設</w:t>
      </w:r>
      <w:r w:rsidR="0054082A">
        <w:rPr>
          <w:rFonts w:asciiTheme="majorEastAsia" w:eastAsiaTheme="majorEastAsia" w:hAnsiTheme="majorEastAsia" w:hint="eastAsia"/>
          <w:sz w:val="22"/>
        </w:rPr>
        <w:t>に係る</w:t>
      </w:r>
      <w:r>
        <w:rPr>
          <w:rFonts w:asciiTheme="majorEastAsia" w:eastAsiaTheme="majorEastAsia" w:hAnsiTheme="majorEastAsia" w:hint="eastAsia"/>
          <w:sz w:val="22"/>
        </w:rPr>
        <w:t>指定管理者の指定</w:t>
      </w:r>
      <w:r w:rsidR="00347651">
        <w:rPr>
          <w:rFonts w:asciiTheme="majorEastAsia" w:eastAsiaTheme="majorEastAsia" w:hAnsiTheme="majorEastAsia" w:hint="eastAsia"/>
          <w:sz w:val="22"/>
        </w:rPr>
        <w:t>手続き</w:t>
      </w:r>
      <w:r w:rsidR="0054082A">
        <w:rPr>
          <w:rFonts w:asciiTheme="majorEastAsia" w:eastAsiaTheme="majorEastAsia" w:hAnsiTheme="majorEastAsia" w:hint="eastAsia"/>
          <w:sz w:val="22"/>
        </w:rPr>
        <w:t>等</w:t>
      </w:r>
      <w:r w:rsidR="00347651">
        <w:rPr>
          <w:rFonts w:asciiTheme="majorEastAsia" w:eastAsiaTheme="majorEastAsia" w:hAnsiTheme="majorEastAsia" w:hint="eastAsia"/>
          <w:sz w:val="22"/>
        </w:rPr>
        <w:t>に関する条例</w:t>
      </w:r>
      <w:r>
        <w:rPr>
          <w:rFonts w:asciiTheme="majorEastAsia" w:eastAsiaTheme="majorEastAsia" w:hAnsiTheme="majorEastAsia" w:hint="eastAsia"/>
          <w:sz w:val="22"/>
        </w:rPr>
        <w:t>」</w:t>
      </w:r>
      <w:r w:rsidR="00347651">
        <w:rPr>
          <w:rFonts w:asciiTheme="majorEastAsia" w:eastAsiaTheme="majorEastAsia" w:hAnsiTheme="majorEastAsia" w:hint="eastAsia"/>
          <w:sz w:val="22"/>
        </w:rPr>
        <w:t>（平成１７年条例第５号）に基づいて</w:t>
      </w:r>
      <w:r w:rsidR="0054082A">
        <w:rPr>
          <w:rFonts w:asciiTheme="majorEastAsia" w:eastAsiaTheme="majorEastAsia" w:hAnsiTheme="majorEastAsia" w:hint="eastAsia"/>
          <w:sz w:val="22"/>
        </w:rPr>
        <w:t>適正</w:t>
      </w:r>
      <w:r w:rsidR="00347651">
        <w:rPr>
          <w:rFonts w:asciiTheme="majorEastAsia" w:eastAsiaTheme="majorEastAsia" w:hAnsiTheme="majorEastAsia" w:hint="eastAsia"/>
          <w:sz w:val="22"/>
        </w:rPr>
        <w:t>に運用します。</w:t>
      </w:r>
    </w:p>
    <w:p w:rsidR="00787ED0" w:rsidRDefault="00787ED0" w:rsidP="00787ED0">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損失補償等への対応</w:t>
      </w:r>
    </w:p>
    <w:p w:rsidR="00347651" w:rsidRDefault="00347651"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債務について行う損失補償については、将来的にはその一部又は全部を負担する可能性があり、経営破綻した場合、巨額の</w:t>
      </w:r>
      <w:r w:rsidR="0054082A">
        <w:rPr>
          <w:rFonts w:asciiTheme="majorEastAsia" w:eastAsiaTheme="majorEastAsia" w:hAnsiTheme="majorEastAsia" w:hint="eastAsia"/>
          <w:sz w:val="22"/>
        </w:rPr>
        <w:t>債務</w:t>
      </w:r>
      <w:r>
        <w:rPr>
          <w:rFonts w:asciiTheme="majorEastAsia" w:eastAsiaTheme="majorEastAsia" w:hAnsiTheme="majorEastAsia" w:hint="eastAsia"/>
          <w:sz w:val="22"/>
        </w:rPr>
        <w:t>を負う特別なリスクが存在するなどから、行わないものとします。</w:t>
      </w:r>
    </w:p>
    <w:p w:rsidR="00787ED0" w:rsidRDefault="00787ED0" w:rsidP="00787ED0">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短期貸付</w:t>
      </w:r>
    </w:p>
    <w:p w:rsidR="00347651" w:rsidRDefault="00347651"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短期貸付（同一年度に貸付と返済の双方が行われる貸付）を反復かつ継続的に実施することは、本来は長期貸付又は補助金の交付により対応すべきであり、</w:t>
      </w:r>
      <w:r w:rsidR="00723D2F">
        <w:rPr>
          <w:rFonts w:asciiTheme="majorEastAsia" w:eastAsiaTheme="majorEastAsia" w:hAnsiTheme="majorEastAsia" w:hint="eastAsia"/>
          <w:sz w:val="22"/>
        </w:rPr>
        <w:t>他の方策による支援を検討する必要があります。</w:t>
      </w:r>
      <w:r>
        <w:rPr>
          <w:rFonts w:asciiTheme="majorEastAsia" w:eastAsiaTheme="majorEastAsia" w:hAnsiTheme="majorEastAsia" w:hint="eastAsia"/>
          <w:sz w:val="22"/>
        </w:rPr>
        <w:t>特に短期貸付の出納整理期間における返済を恒常的に行っている場合は、予算単年度主義の原則や健全化法の趣旨に反していることから行わないものとします。</w:t>
      </w:r>
    </w:p>
    <w:p w:rsidR="00787ED0" w:rsidRDefault="00787ED0" w:rsidP="00787ED0">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長期貸付</w:t>
      </w:r>
    </w:p>
    <w:p w:rsidR="00347651" w:rsidRDefault="00347651" w:rsidP="00627B12">
      <w:pPr>
        <w:pStyle w:val="a5"/>
        <w:ind w:leftChars="405" w:left="850"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長期貸付は損失補償や短期貸付と比べれば財政的リスクは低いと考えられますが、第三セクターの経営の著しい悪化が町の財政運営に大きな影響を及ぼす恐れがあることから、貸付に関しては十分に留意することとします。</w:t>
      </w:r>
    </w:p>
    <w:p w:rsidR="00787ED0" w:rsidRDefault="00787ED0" w:rsidP="00787ED0">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出資（増資）</w:t>
      </w:r>
    </w:p>
    <w:p w:rsidR="00347651" w:rsidRDefault="00347651" w:rsidP="00627B12">
      <w:pPr>
        <w:ind w:left="851"/>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D2B0E">
        <w:rPr>
          <w:rFonts w:asciiTheme="majorEastAsia" w:eastAsiaTheme="majorEastAsia" w:hAnsiTheme="majorEastAsia" w:hint="eastAsia"/>
          <w:sz w:val="22"/>
        </w:rPr>
        <w:t>町が第三セクターに対して行う出資（増資を含む）は、公と民の役割やリスク等</w:t>
      </w:r>
      <w:r w:rsidR="00627B12">
        <w:rPr>
          <w:rFonts w:asciiTheme="majorEastAsia" w:eastAsiaTheme="majorEastAsia" w:hAnsiTheme="majorEastAsia" w:hint="eastAsia"/>
          <w:sz w:val="22"/>
        </w:rPr>
        <w:t>の</w:t>
      </w:r>
      <w:r w:rsidR="005D2B0E">
        <w:rPr>
          <w:rFonts w:asciiTheme="majorEastAsia" w:eastAsiaTheme="majorEastAsia" w:hAnsiTheme="majorEastAsia" w:hint="eastAsia"/>
          <w:sz w:val="22"/>
        </w:rPr>
        <w:t>分担の考え方と公的支援としての意義の双方を勘案して、出資の是非・規模等を判断することが必要ですが、新たな出資を行う場合は慎重</w:t>
      </w:r>
      <w:r w:rsidR="00627B12">
        <w:rPr>
          <w:rFonts w:asciiTheme="majorEastAsia" w:eastAsiaTheme="majorEastAsia" w:hAnsiTheme="majorEastAsia" w:hint="eastAsia"/>
          <w:sz w:val="22"/>
        </w:rPr>
        <w:t>に</w:t>
      </w:r>
      <w:r w:rsidR="005D2B0E">
        <w:rPr>
          <w:rFonts w:asciiTheme="majorEastAsia" w:eastAsiaTheme="majorEastAsia" w:hAnsiTheme="majorEastAsia" w:hint="eastAsia"/>
          <w:sz w:val="22"/>
        </w:rPr>
        <w:t>判断</w:t>
      </w:r>
      <w:r w:rsidR="00627B12">
        <w:rPr>
          <w:rFonts w:asciiTheme="majorEastAsia" w:eastAsiaTheme="majorEastAsia" w:hAnsiTheme="majorEastAsia" w:hint="eastAsia"/>
          <w:sz w:val="22"/>
        </w:rPr>
        <w:t>します</w:t>
      </w:r>
      <w:r w:rsidR="005D2B0E">
        <w:rPr>
          <w:rFonts w:asciiTheme="majorEastAsia" w:eastAsiaTheme="majorEastAsia" w:hAnsiTheme="majorEastAsia" w:hint="eastAsia"/>
          <w:sz w:val="22"/>
        </w:rPr>
        <w:t>。</w:t>
      </w:r>
    </w:p>
    <w:p w:rsidR="005D2B0E" w:rsidRPr="00347651" w:rsidRDefault="005D2B0E" w:rsidP="00347651">
      <w:pPr>
        <w:ind w:left="645"/>
        <w:jc w:val="left"/>
        <w:rPr>
          <w:rFonts w:asciiTheme="majorEastAsia" w:eastAsiaTheme="majorEastAsia" w:hAnsiTheme="majorEastAsia"/>
          <w:sz w:val="22"/>
        </w:rPr>
      </w:pPr>
      <w:r>
        <w:rPr>
          <w:rFonts w:asciiTheme="majorEastAsia" w:eastAsiaTheme="majorEastAsia" w:hAnsiTheme="majorEastAsia" w:hint="eastAsia"/>
          <w:sz w:val="22"/>
        </w:rPr>
        <w:t xml:space="preserve">　</w:t>
      </w:r>
    </w:p>
    <w:p w:rsidR="00D11721" w:rsidRDefault="00D11721" w:rsidP="00D11721">
      <w:pPr>
        <w:pStyle w:val="a5"/>
        <w:numPr>
          <w:ilvl w:val="0"/>
          <w:numId w:val="9"/>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人的関与の見直し</w:t>
      </w:r>
    </w:p>
    <w:p w:rsidR="005D2B0E" w:rsidRDefault="005D2B0E" w:rsidP="005D2B0E">
      <w:pPr>
        <w:ind w:left="567"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第三セクターに対して行う役員への就任や職員派遣については、「公益的法人等への一般職の地方公務員の派遣等に関する法律」（平成１２年法律第５０号）を踏まえて、適切に対応する必要があります。また、派遣等を行った場合には、定期的に点検・検証し、将来的に目的が達成された場合などにおいては、引き</w:t>
      </w:r>
      <w:r w:rsidR="0054082A">
        <w:rPr>
          <w:rFonts w:asciiTheme="majorEastAsia" w:eastAsiaTheme="majorEastAsia" w:hAnsiTheme="majorEastAsia" w:hint="eastAsia"/>
          <w:sz w:val="22"/>
        </w:rPr>
        <w:t>上げ</w:t>
      </w:r>
      <w:r>
        <w:rPr>
          <w:rFonts w:asciiTheme="majorEastAsia" w:eastAsiaTheme="majorEastAsia" w:hAnsiTheme="majorEastAsia" w:hint="eastAsia"/>
          <w:sz w:val="22"/>
        </w:rPr>
        <w:t>を行うなど的確な運用に努めます。</w:t>
      </w:r>
    </w:p>
    <w:p w:rsidR="00627B12" w:rsidRDefault="00627B12" w:rsidP="005D2B0E">
      <w:pPr>
        <w:ind w:left="567" w:firstLineChars="100" w:firstLine="220"/>
        <w:jc w:val="left"/>
        <w:rPr>
          <w:rFonts w:asciiTheme="majorEastAsia" w:eastAsiaTheme="majorEastAsia" w:hAnsiTheme="majorEastAsia"/>
          <w:sz w:val="22"/>
        </w:rPr>
      </w:pPr>
    </w:p>
    <w:p w:rsidR="005D2B0E" w:rsidRDefault="005D2B0E" w:rsidP="005D2B0E">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役員の就任</w:t>
      </w:r>
    </w:p>
    <w:p w:rsidR="005D2B0E" w:rsidRDefault="005D2B0E" w:rsidP="00627B12">
      <w:pPr>
        <w:pStyle w:val="a5"/>
        <w:ind w:leftChars="0" w:left="851" w:firstLineChars="134" w:firstLine="295"/>
        <w:jc w:val="left"/>
        <w:rPr>
          <w:rFonts w:asciiTheme="majorEastAsia" w:eastAsiaTheme="majorEastAsia" w:hAnsiTheme="majorEastAsia"/>
          <w:sz w:val="22"/>
        </w:rPr>
      </w:pPr>
      <w:r>
        <w:rPr>
          <w:rFonts w:asciiTheme="majorEastAsia" w:eastAsiaTheme="majorEastAsia" w:hAnsiTheme="majorEastAsia" w:hint="eastAsia"/>
          <w:sz w:val="22"/>
        </w:rPr>
        <w:t>町長、副町長が第三セクターの代表権のない役員に就任している場合、その経過・状況を十分検討した上で、退任が可能と判断されたものについては</w:t>
      </w:r>
      <w:r w:rsidR="00B30482">
        <w:rPr>
          <w:rFonts w:asciiTheme="majorEastAsia" w:eastAsiaTheme="majorEastAsia" w:hAnsiTheme="majorEastAsia" w:hint="eastAsia"/>
          <w:sz w:val="22"/>
        </w:rPr>
        <w:t>、辞任するものとします。</w:t>
      </w:r>
    </w:p>
    <w:p w:rsidR="00B30482" w:rsidRDefault="00B30482" w:rsidP="00627B12">
      <w:pPr>
        <w:pStyle w:val="a5"/>
        <w:ind w:leftChars="0" w:left="851" w:firstLineChars="134" w:firstLine="295"/>
        <w:jc w:val="left"/>
        <w:rPr>
          <w:rFonts w:asciiTheme="majorEastAsia" w:eastAsiaTheme="majorEastAsia" w:hAnsiTheme="majorEastAsia"/>
          <w:sz w:val="22"/>
        </w:rPr>
      </w:pPr>
      <w:r>
        <w:rPr>
          <w:rFonts w:asciiTheme="majorEastAsia" w:eastAsiaTheme="majorEastAsia" w:hAnsiTheme="majorEastAsia" w:hint="eastAsia"/>
          <w:sz w:val="22"/>
        </w:rPr>
        <w:t>町長、副町長は、原則として新たな第三セクターの役員に就任しないものとします。ただし、法令等で定めにある場合や他の出資者との関係等で地方公共団体の長等が役員に就任する場合、又は出資（出捐）法人から</w:t>
      </w:r>
      <w:r w:rsidR="0054082A">
        <w:rPr>
          <w:rFonts w:asciiTheme="majorEastAsia" w:eastAsiaTheme="majorEastAsia" w:hAnsiTheme="majorEastAsia" w:hint="eastAsia"/>
          <w:sz w:val="22"/>
        </w:rPr>
        <w:t>の</w:t>
      </w:r>
      <w:r>
        <w:rPr>
          <w:rFonts w:asciiTheme="majorEastAsia" w:eastAsiaTheme="majorEastAsia" w:hAnsiTheme="majorEastAsia" w:hint="eastAsia"/>
          <w:sz w:val="22"/>
        </w:rPr>
        <w:t>特段の要請に基づき就任する場合は除きます。</w:t>
      </w:r>
    </w:p>
    <w:p w:rsidR="005D2B0E" w:rsidRPr="005D2B0E" w:rsidRDefault="005D2B0E" w:rsidP="005D2B0E">
      <w:pPr>
        <w:pStyle w:val="a5"/>
        <w:numPr>
          <w:ilvl w:val="1"/>
          <w:numId w:val="9"/>
        </w:numPr>
        <w:ind w:leftChars="0"/>
        <w:jc w:val="left"/>
        <w:rPr>
          <w:rFonts w:asciiTheme="majorEastAsia" w:eastAsiaTheme="majorEastAsia" w:hAnsiTheme="majorEastAsia"/>
          <w:sz w:val="22"/>
        </w:rPr>
      </w:pPr>
      <w:r>
        <w:rPr>
          <w:rFonts w:asciiTheme="majorEastAsia" w:eastAsiaTheme="majorEastAsia" w:hAnsiTheme="majorEastAsia" w:hint="eastAsia"/>
          <w:sz w:val="22"/>
        </w:rPr>
        <w:t>職員の派遣</w:t>
      </w:r>
    </w:p>
    <w:p w:rsidR="005D2B0E" w:rsidRDefault="00701D3A" w:rsidP="00627B12">
      <w:pPr>
        <w:ind w:left="851" w:firstLineChars="134" w:firstLine="295"/>
        <w:jc w:val="left"/>
        <w:rPr>
          <w:rFonts w:asciiTheme="majorEastAsia" w:eastAsiaTheme="majorEastAsia" w:hAnsiTheme="majorEastAsia"/>
          <w:sz w:val="22"/>
        </w:rPr>
      </w:pPr>
      <w:r>
        <w:rPr>
          <w:rFonts w:asciiTheme="majorEastAsia" w:eastAsiaTheme="majorEastAsia" w:hAnsiTheme="majorEastAsia" w:hint="eastAsia"/>
          <w:sz w:val="22"/>
        </w:rPr>
        <w:t>町の関与の適正化を図るため、職員派遣については、町の施策を推進するなど、特別な場合を除き職員の派遣を行わないものとします。ただし、所管の法人の経営状況等の把握のため、各種会議等については担当職員が出席し、状況確認を行います。</w:t>
      </w:r>
    </w:p>
    <w:p w:rsidR="00701D3A" w:rsidRDefault="00701D3A" w:rsidP="00627B12">
      <w:pPr>
        <w:ind w:left="851" w:firstLineChars="134" w:firstLine="295"/>
        <w:jc w:val="left"/>
        <w:rPr>
          <w:rFonts w:asciiTheme="majorEastAsia" w:eastAsiaTheme="majorEastAsia" w:hAnsiTheme="majorEastAsia"/>
          <w:sz w:val="22"/>
        </w:rPr>
      </w:pPr>
      <w:r>
        <w:rPr>
          <w:rFonts w:asciiTheme="majorEastAsia" w:eastAsiaTheme="majorEastAsia" w:hAnsiTheme="majorEastAsia" w:hint="eastAsia"/>
          <w:sz w:val="22"/>
        </w:rPr>
        <w:t>第三セクター等の改革（平成２０年６月３０日総務省通知）により、経営悪化や再生、組織の変更などの理由によりやむなく職員を派遣する必要がある法人については、その目的と派遣・就任の期限を明確にし、必要最小限の関与に止めることとします。</w:t>
      </w:r>
    </w:p>
    <w:p w:rsidR="00701D3A" w:rsidRPr="005D2B0E" w:rsidRDefault="00701D3A" w:rsidP="00701D3A">
      <w:pPr>
        <w:ind w:left="709" w:firstLineChars="134" w:firstLine="295"/>
        <w:jc w:val="left"/>
        <w:rPr>
          <w:rFonts w:asciiTheme="majorEastAsia" w:eastAsiaTheme="majorEastAsia" w:hAnsiTheme="majorEastAsia"/>
          <w:sz w:val="22"/>
        </w:rPr>
      </w:pPr>
    </w:p>
    <w:p w:rsid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５　第三セクターの抜本的改革を含む経営健全化</w:t>
      </w:r>
    </w:p>
    <w:p w:rsidR="00701D3A" w:rsidRDefault="00701D3A" w:rsidP="00301E54">
      <w:pPr>
        <w:ind w:leftChars="135" w:left="283"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町が経営状況等の把握に努めた結果、現在又は将来の経営の悪化、健全性の喪失等、町へ相当程度の財政的なリスクが存在する第三セクター</w:t>
      </w:r>
      <w:r w:rsidR="00B84D06">
        <w:rPr>
          <w:rFonts w:asciiTheme="majorEastAsia" w:eastAsiaTheme="majorEastAsia" w:hAnsiTheme="majorEastAsia" w:hint="eastAsia"/>
          <w:sz w:val="22"/>
        </w:rPr>
        <w:t>が判明した場合には、速やかにその旨を明らかにし、抜本的な改革を含む経営健全化に取り組みます。</w:t>
      </w:r>
    </w:p>
    <w:p w:rsidR="00301E54" w:rsidRPr="00701D3A" w:rsidRDefault="00301E54" w:rsidP="00301E54">
      <w:pPr>
        <w:ind w:leftChars="135" w:left="283" w:firstLineChars="100" w:firstLine="220"/>
        <w:jc w:val="left"/>
        <w:rPr>
          <w:rFonts w:asciiTheme="majorEastAsia" w:eastAsiaTheme="majorEastAsia" w:hAnsiTheme="majorEastAsia"/>
          <w:sz w:val="22"/>
        </w:rPr>
      </w:pPr>
    </w:p>
    <w:p w:rsidR="00D11721" w:rsidRDefault="00D11721" w:rsidP="00D11721">
      <w:pPr>
        <w:pStyle w:val="a5"/>
        <w:numPr>
          <w:ilvl w:val="0"/>
          <w:numId w:val="10"/>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第三セクターの経営健全化についての役割分担</w:t>
      </w:r>
    </w:p>
    <w:p w:rsidR="00301E54" w:rsidRDefault="007203EF" w:rsidP="007203EF">
      <w:pPr>
        <w:ind w:left="567"/>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301E54" w:rsidRPr="00301E54">
        <w:rPr>
          <w:rFonts w:asciiTheme="majorEastAsia" w:eastAsiaTheme="majorEastAsia" w:hAnsiTheme="majorEastAsia" w:hint="eastAsia"/>
          <w:sz w:val="22"/>
        </w:rPr>
        <w:t>第三セクター</w:t>
      </w:r>
      <w:r w:rsidR="00301E54">
        <w:rPr>
          <w:rFonts w:asciiTheme="majorEastAsia" w:eastAsiaTheme="majorEastAsia" w:hAnsiTheme="majorEastAsia" w:hint="eastAsia"/>
          <w:sz w:val="22"/>
        </w:rPr>
        <w:t>の経営は、町から独立した事業主体として、自らの判断と責任に基づいて遂行することが原則ですが、経営が悪化した場合の経営健全化、特に抜本的改革については、事業の公共性、公益性、町が行う公的支援による財政的リスク等を踏まえて、町の指示に従うものとします。</w:t>
      </w:r>
    </w:p>
    <w:p w:rsidR="007203EF" w:rsidRDefault="007203EF" w:rsidP="007203EF">
      <w:pPr>
        <w:ind w:left="567"/>
        <w:jc w:val="left"/>
        <w:rPr>
          <w:rFonts w:asciiTheme="majorEastAsia" w:eastAsiaTheme="majorEastAsia" w:hAnsiTheme="majorEastAsia"/>
          <w:sz w:val="22"/>
        </w:rPr>
      </w:pPr>
      <w:r>
        <w:rPr>
          <w:rFonts w:asciiTheme="majorEastAsia" w:eastAsiaTheme="majorEastAsia" w:hAnsiTheme="majorEastAsia" w:hint="eastAsia"/>
          <w:sz w:val="22"/>
        </w:rPr>
        <w:t xml:space="preserve">　第三セクターが経営悪化に至った主たる要因が、公共性、公益性の高い事業を行ったことにより生じた損失であっても経営の効率化、合理化の余地について検討し、経営健全化に速やかに取り組むよう指示</w:t>
      </w:r>
      <w:r w:rsidR="00627B12">
        <w:rPr>
          <w:rFonts w:asciiTheme="majorEastAsia" w:eastAsiaTheme="majorEastAsia" w:hAnsiTheme="majorEastAsia" w:hint="eastAsia"/>
          <w:sz w:val="22"/>
        </w:rPr>
        <w:t>す</w:t>
      </w:r>
      <w:r>
        <w:rPr>
          <w:rFonts w:asciiTheme="majorEastAsia" w:eastAsiaTheme="majorEastAsia" w:hAnsiTheme="majorEastAsia" w:hint="eastAsia"/>
          <w:sz w:val="22"/>
        </w:rPr>
        <w:t>ることとします。</w:t>
      </w:r>
    </w:p>
    <w:p w:rsidR="007203EF" w:rsidRPr="00301E54" w:rsidRDefault="007203EF" w:rsidP="00301E54">
      <w:pPr>
        <w:ind w:left="225"/>
        <w:jc w:val="left"/>
        <w:rPr>
          <w:rFonts w:asciiTheme="majorEastAsia" w:eastAsiaTheme="majorEastAsia" w:hAnsiTheme="majorEastAsia"/>
          <w:sz w:val="22"/>
        </w:rPr>
      </w:pPr>
    </w:p>
    <w:p w:rsidR="00D11721" w:rsidRDefault="00D11721" w:rsidP="00D11721">
      <w:pPr>
        <w:pStyle w:val="a5"/>
        <w:numPr>
          <w:ilvl w:val="0"/>
          <w:numId w:val="10"/>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抜本的改革を含む経営健全化</w:t>
      </w:r>
    </w:p>
    <w:p w:rsidR="007203EF" w:rsidRDefault="007203EF" w:rsidP="007203EF">
      <w:pPr>
        <w:ind w:leftChars="270" w:left="567"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抜本的改革を含む経営健全化に取り組むべき第三セクターは、次の基準に該当するものとします。</w:t>
      </w:r>
    </w:p>
    <w:p w:rsidR="007203EF" w:rsidRPr="007203EF" w:rsidRDefault="007203EF" w:rsidP="007203EF">
      <w:pPr>
        <w:pStyle w:val="a5"/>
        <w:numPr>
          <w:ilvl w:val="1"/>
          <w:numId w:val="10"/>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2"/>
        </w:rPr>
        <w:t>公共性、公益性が喪失したか、著しく低下したもの</w:t>
      </w:r>
    </w:p>
    <w:p w:rsidR="007203EF" w:rsidRPr="007203EF" w:rsidRDefault="007203EF" w:rsidP="007203EF">
      <w:pPr>
        <w:pStyle w:val="a5"/>
        <w:numPr>
          <w:ilvl w:val="1"/>
          <w:numId w:val="10"/>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2"/>
        </w:rPr>
        <w:t>他の事業手法（直営、民間委託等）と比べて費用対効果が乏しいもの</w:t>
      </w:r>
    </w:p>
    <w:p w:rsidR="007203EF" w:rsidRPr="007203EF" w:rsidRDefault="007203EF" w:rsidP="007203EF">
      <w:pPr>
        <w:pStyle w:val="a5"/>
        <w:numPr>
          <w:ilvl w:val="1"/>
          <w:numId w:val="10"/>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2"/>
        </w:rPr>
        <w:t>実質的に債務超過であるもの</w:t>
      </w:r>
    </w:p>
    <w:p w:rsidR="007203EF" w:rsidRPr="007753BA" w:rsidRDefault="007203EF" w:rsidP="007203EF">
      <w:pPr>
        <w:pStyle w:val="a5"/>
        <w:numPr>
          <w:ilvl w:val="1"/>
          <w:numId w:val="10"/>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2"/>
        </w:rPr>
        <w:t>町が多大な財政的リスクを有するもの</w:t>
      </w:r>
    </w:p>
    <w:p w:rsidR="007753BA" w:rsidRPr="007203EF" w:rsidRDefault="007753BA" w:rsidP="007753BA">
      <w:pPr>
        <w:pStyle w:val="a5"/>
        <w:ind w:leftChars="0" w:left="1276"/>
        <w:jc w:val="left"/>
        <w:rPr>
          <w:rFonts w:asciiTheme="majorEastAsia" w:eastAsiaTheme="majorEastAsia" w:hAnsiTheme="majorEastAsia"/>
          <w:sz w:val="24"/>
          <w:szCs w:val="24"/>
        </w:rPr>
      </w:pPr>
      <w:r>
        <w:rPr>
          <w:rFonts w:asciiTheme="majorEastAsia" w:eastAsiaTheme="majorEastAsia" w:hAnsiTheme="majorEastAsia" w:hint="eastAsia"/>
          <w:sz w:val="22"/>
        </w:rPr>
        <w:t>町が第三セクターに対して行う損失補償及び短期貸付の標準財政規模に対する比率が、町の実質赤字の早期健全化基準の水準（11.25％～15％）に達している場合には、多大な財政的リスクを有するものとして取り扱う</w:t>
      </w:r>
    </w:p>
    <w:p w:rsidR="007203EF" w:rsidRDefault="007203EF" w:rsidP="007203EF">
      <w:pPr>
        <w:pStyle w:val="a5"/>
        <w:numPr>
          <w:ilvl w:val="1"/>
          <w:numId w:val="10"/>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2"/>
        </w:rPr>
        <w:t>第三セクターの「存続（事業継続）の前提条件」（ゴーイング・コンサーン）</w:t>
      </w:r>
      <w:r w:rsidR="007753BA">
        <w:rPr>
          <w:rFonts w:asciiTheme="majorEastAsia" w:eastAsiaTheme="majorEastAsia" w:hAnsiTheme="majorEastAsia" w:hint="eastAsia"/>
          <w:sz w:val="22"/>
        </w:rPr>
        <w:t>を満たさなくなったもの</w:t>
      </w:r>
      <w:r w:rsidRPr="007203EF">
        <w:rPr>
          <w:rFonts w:asciiTheme="majorEastAsia" w:eastAsiaTheme="majorEastAsia" w:hAnsiTheme="majorEastAsia" w:hint="eastAsia"/>
          <w:sz w:val="24"/>
          <w:szCs w:val="24"/>
        </w:rPr>
        <w:t xml:space="preserve">　　</w:t>
      </w:r>
    </w:p>
    <w:p w:rsidR="007753BA" w:rsidRDefault="007753BA" w:rsidP="007753BA">
      <w:pPr>
        <w:jc w:val="left"/>
        <w:rPr>
          <w:rFonts w:asciiTheme="majorEastAsia" w:eastAsiaTheme="majorEastAsia" w:hAnsiTheme="majorEastAsia"/>
          <w:sz w:val="24"/>
          <w:szCs w:val="24"/>
        </w:rPr>
      </w:pPr>
    </w:p>
    <w:p w:rsidR="007753BA" w:rsidRDefault="007753BA" w:rsidP="007753BA">
      <w:pPr>
        <w:jc w:val="left"/>
        <w:rPr>
          <w:rFonts w:asciiTheme="majorEastAsia" w:eastAsiaTheme="majorEastAsia" w:hAnsiTheme="majorEastAsia"/>
          <w:sz w:val="22"/>
        </w:rPr>
      </w:pPr>
      <w:r>
        <w:rPr>
          <w:rFonts w:asciiTheme="majorEastAsia" w:eastAsiaTheme="majorEastAsia" w:hAnsiTheme="majorEastAsia" w:hint="eastAsia"/>
          <w:sz w:val="24"/>
          <w:szCs w:val="24"/>
        </w:rPr>
        <w:t xml:space="preserve">　</w:t>
      </w:r>
      <w:r w:rsidRPr="007753BA">
        <w:rPr>
          <w:rFonts w:asciiTheme="majorEastAsia" w:eastAsiaTheme="majorEastAsia" w:hAnsiTheme="majorEastAsia" w:hint="eastAsia"/>
          <w:sz w:val="22"/>
        </w:rPr>
        <w:t>上記の基準に該当する第三セクターの抜本的改革</w:t>
      </w:r>
      <w:r>
        <w:rPr>
          <w:rFonts w:asciiTheme="majorEastAsia" w:eastAsiaTheme="majorEastAsia" w:hAnsiTheme="majorEastAsia" w:hint="eastAsia"/>
          <w:sz w:val="22"/>
        </w:rPr>
        <w:t>を含む経営健全化については、別紙１フローチャートの手順により</w:t>
      </w:r>
      <w:r w:rsidR="00883561">
        <w:rPr>
          <w:rFonts w:asciiTheme="majorEastAsia" w:eastAsiaTheme="majorEastAsia" w:hAnsiTheme="majorEastAsia" w:hint="eastAsia"/>
          <w:sz w:val="22"/>
        </w:rPr>
        <w:t>検討するものとします。</w:t>
      </w:r>
    </w:p>
    <w:p w:rsidR="00883561" w:rsidRDefault="00883561" w:rsidP="007753BA">
      <w:pPr>
        <w:jc w:val="left"/>
        <w:rPr>
          <w:rFonts w:asciiTheme="majorEastAsia" w:eastAsiaTheme="majorEastAsia" w:hAnsiTheme="majorEastAsia"/>
          <w:sz w:val="22"/>
        </w:rPr>
      </w:pPr>
      <w:r>
        <w:rPr>
          <w:rFonts w:asciiTheme="majorEastAsia" w:eastAsiaTheme="majorEastAsia" w:hAnsiTheme="majorEastAsia" w:hint="eastAsia"/>
          <w:sz w:val="22"/>
        </w:rPr>
        <w:t xml:space="preserve">　なお、フローチャート中の「採算性」の判断に当って、次の基準に該当する第三セクターについては、原則として「採算性」がないもの</w:t>
      </w:r>
      <w:r w:rsidR="0054082A">
        <w:rPr>
          <w:rFonts w:asciiTheme="majorEastAsia" w:eastAsiaTheme="majorEastAsia" w:hAnsiTheme="majorEastAsia" w:hint="eastAsia"/>
          <w:sz w:val="22"/>
        </w:rPr>
        <w:t>と</w:t>
      </w:r>
      <w:r>
        <w:rPr>
          <w:rFonts w:asciiTheme="majorEastAsia" w:eastAsiaTheme="majorEastAsia" w:hAnsiTheme="majorEastAsia" w:hint="eastAsia"/>
          <w:sz w:val="22"/>
        </w:rPr>
        <w:t>判断するものとします。</w:t>
      </w:r>
    </w:p>
    <w:p w:rsidR="00466E04" w:rsidRPr="007753BA" w:rsidRDefault="00466E04" w:rsidP="007753BA">
      <w:pPr>
        <w:jc w:val="left"/>
        <w:rPr>
          <w:rFonts w:asciiTheme="majorEastAsia" w:eastAsiaTheme="majorEastAsia" w:hAnsiTheme="majorEastAsia"/>
          <w:sz w:val="22"/>
        </w:rPr>
      </w:pPr>
    </w:p>
    <w:p w:rsidR="007753BA" w:rsidRDefault="00466E04" w:rsidP="00466E04">
      <w:pPr>
        <w:pStyle w:val="a5"/>
        <w:numPr>
          <w:ilvl w:val="1"/>
          <w:numId w:val="3"/>
        </w:numPr>
        <w:ind w:leftChars="0"/>
        <w:jc w:val="left"/>
        <w:rPr>
          <w:rFonts w:asciiTheme="majorEastAsia" w:eastAsiaTheme="majorEastAsia" w:hAnsiTheme="majorEastAsia"/>
          <w:sz w:val="22"/>
        </w:rPr>
      </w:pPr>
      <w:r>
        <w:rPr>
          <w:rFonts w:asciiTheme="majorEastAsia" w:eastAsiaTheme="majorEastAsia" w:hAnsiTheme="majorEastAsia" w:hint="eastAsia"/>
          <w:sz w:val="22"/>
        </w:rPr>
        <w:t>損失補償を行っている第三セクター</w:t>
      </w:r>
    </w:p>
    <w:p w:rsidR="00466E04" w:rsidRDefault="00466E04" w:rsidP="00466E04">
      <w:pPr>
        <w:pStyle w:val="a5"/>
        <w:ind w:leftChars="479" w:left="1226"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 xml:space="preserve">　損失補償債務等に係る一般会計等負担見込み額の算定に関する基準（平成２０年総務省告示第２４２号）における「標準評価方式」（別紙２）において損失補償債務が「B～E」と評価されたもの、又は個別評価方式においてその</w:t>
      </w:r>
      <w:r w:rsidR="0054082A">
        <w:rPr>
          <w:rFonts w:asciiTheme="majorEastAsia" w:eastAsiaTheme="majorEastAsia" w:hAnsiTheme="majorEastAsia" w:hint="eastAsia"/>
          <w:sz w:val="22"/>
        </w:rPr>
        <w:t>算入</w:t>
      </w:r>
      <w:r w:rsidR="00627B12">
        <w:rPr>
          <w:rFonts w:asciiTheme="majorEastAsia" w:eastAsiaTheme="majorEastAsia" w:hAnsiTheme="majorEastAsia" w:hint="eastAsia"/>
          <w:sz w:val="22"/>
        </w:rPr>
        <w:t>割合</w:t>
      </w:r>
      <w:r>
        <w:rPr>
          <w:rFonts w:asciiTheme="majorEastAsia" w:eastAsiaTheme="majorEastAsia" w:hAnsiTheme="majorEastAsia" w:hint="eastAsia"/>
          <w:sz w:val="22"/>
        </w:rPr>
        <w:t>が３０％以上とされたもの</w:t>
      </w:r>
    </w:p>
    <w:p w:rsidR="00466E04" w:rsidRPr="00466E04" w:rsidRDefault="00466E04" w:rsidP="00466E04">
      <w:pPr>
        <w:pStyle w:val="a5"/>
        <w:numPr>
          <w:ilvl w:val="1"/>
          <w:numId w:val="3"/>
        </w:numPr>
        <w:ind w:leftChars="0"/>
        <w:jc w:val="left"/>
        <w:rPr>
          <w:rFonts w:asciiTheme="majorEastAsia" w:eastAsiaTheme="majorEastAsia" w:hAnsiTheme="majorEastAsia"/>
          <w:sz w:val="22"/>
        </w:rPr>
      </w:pPr>
      <w:r>
        <w:rPr>
          <w:rFonts w:asciiTheme="majorEastAsia" w:eastAsiaTheme="majorEastAsia" w:hAnsiTheme="majorEastAsia" w:hint="eastAsia"/>
          <w:sz w:val="22"/>
        </w:rPr>
        <w:t>損失補償を行っていない第三セクター</w:t>
      </w:r>
    </w:p>
    <w:p w:rsidR="00883561" w:rsidRDefault="00466E04" w:rsidP="00466E04">
      <w:pPr>
        <w:ind w:leftChars="607" w:left="1275"/>
        <w:jc w:val="left"/>
        <w:rPr>
          <w:rFonts w:asciiTheme="majorEastAsia" w:eastAsiaTheme="majorEastAsia" w:hAnsiTheme="majorEastAsia"/>
          <w:sz w:val="22"/>
        </w:rPr>
      </w:pPr>
      <w:r>
        <w:rPr>
          <w:rFonts w:asciiTheme="majorEastAsia" w:eastAsiaTheme="majorEastAsia" w:hAnsiTheme="majorEastAsia" w:hint="eastAsia"/>
          <w:sz w:val="22"/>
        </w:rPr>
        <w:t>次のいずれかに該当するもの</w:t>
      </w:r>
    </w:p>
    <w:p w:rsidR="00466E04" w:rsidRDefault="00466E04" w:rsidP="00466E04">
      <w:pPr>
        <w:ind w:left="132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 xml:space="preserve">　　　　　ア　経常収支が赤字のもの。町から補助金等の財政援助を受けている場合は、その額を控除した上、判断します。</w:t>
      </w:r>
    </w:p>
    <w:p w:rsidR="00466E04" w:rsidRDefault="00466E04" w:rsidP="00466E04">
      <w:pPr>
        <w:ind w:left="132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 xml:space="preserve">　　　　　イ　債務超過であるもの。含み損の資産を有している場合は、それを反映した上、判断します。</w:t>
      </w:r>
    </w:p>
    <w:p w:rsidR="00767C19" w:rsidRDefault="00466E04" w:rsidP="00466E04">
      <w:pPr>
        <w:ind w:left="132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 xml:space="preserve">　　　　　ウ　債務の元利償還がある場合、当該償還費の１０％以上を町から補助金又は実質的は新規貸付金等の財政支援に依存しているもの</w:t>
      </w:r>
    </w:p>
    <w:p w:rsidR="00767C19" w:rsidRDefault="00767C1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C545C1" w:rsidRPr="00C545C1" w:rsidRDefault="00C545C1" w:rsidP="00C545C1">
      <w:pPr>
        <w:ind w:left="1440" w:hangingChars="600" w:hanging="1440"/>
        <w:jc w:val="right"/>
        <w:rPr>
          <w:rFonts w:ascii="ＭＳ ゴシック" w:eastAsia="ＭＳ ゴシック" w:hAnsi="ＭＳ ゴシック"/>
          <w:sz w:val="24"/>
          <w:szCs w:val="24"/>
        </w:rPr>
      </w:pPr>
      <w:r w:rsidRPr="00C545C1">
        <w:rPr>
          <w:rFonts w:ascii="ＭＳ ゴシック" w:eastAsia="ＭＳ ゴシック" w:hAnsi="ＭＳ ゴシック" w:hint="eastAsia"/>
          <w:sz w:val="24"/>
          <w:szCs w:val="24"/>
        </w:rPr>
        <w:lastRenderedPageBreak/>
        <w:t>【別紙１】</w:t>
      </w:r>
    </w:p>
    <w:p w:rsidR="00466E04" w:rsidRPr="00460E38" w:rsidRDefault="00767C19" w:rsidP="00767C19">
      <w:pPr>
        <w:ind w:left="1680" w:hangingChars="600" w:hanging="1680"/>
        <w:jc w:val="center"/>
        <w:rPr>
          <w:rFonts w:ascii="ＭＳ ゴシック" w:eastAsia="ＭＳ ゴシック" w:hAnsi="ＭＳ ゴシック"/>
          <w:sz w:val="28"/>
          <w:szCs w:val="28"/>
        </w:rPr>
      </w:pPr>
      <w:r w:rsidRPr="00460E38">
        <w:rPr>
          <w:rFonts w:ascii="ＭＳ ゴシック" w:eastAsia="ＭＳ ゴシック" w:hAnsi="ＭＳ ゴシック" w:hint="eastAsia"/>
          <w:sz w:val="28"/>
          <w:szCs w:val="28"/>
        </w:rPr>
        <w:t>抜本的改革を含む経営健全化の取り組みに係る検討のフローチャート</w:t>
      </w:r>
    </w:p>
    <w:p w:rsidR="0082665B" w:rsidRPr="00460E38" w:rsidRDefault="00502311">
      <w:pPr>
        <w:widowControl/>
        <w:jc w:val="left"/>
        <w:rPr>
          <w:color w:val="FFFFFF" w:themeColor="background1"/>
          <w:sz w:val="20"/>
          <w:szCs w:val="20"/>
        </w:rPr>
      </w:pPr>
      <w:r w:rsidRPr="00502311">
        <w:rPr>
          <w:noProof/>
          <w:sz w:val="20"/>
          <w:szCs w:val="20"/>
        </w:rPr>
        <w:pict>
          <v:shapetype id="_x0000_t202" coordsize="21600,21600" o:spt="202" path="m,l,21600r21600,l21600,xe">
            <v:stroke joinstyle="miter"/>
            <v:path gradientshapeok="t" o:connecttype="rect"/>
          </v:shapetype>
          <v:shape id="_x0000_s1057" type="#_x0000_t202" style="position:absolute;margin-left:147.35pt;margin-top:11.6pt;width:168.75pt;height:60pt;z-index:251659264;v-text-anchor:middle" fillcolor="#e36c0a [2409]" strokecolor="#e36c0a [2409]">
            <v:textbox inset="5.85pt,.7pt,5.85pt,.7pt">
              <w:txbxContent>
                <w:p w:rsidR="0082665B" w:rsidRPr="00EA523A" w:rsidRDefault="0082665B" w:rsidP="0082665B">
                  <w:pPr>
                    <w:jc w:val="center"/>
                    <w:rPr>
                      <w:color w:val="FFFFFF" w:themeColor="background1"/>
                      <w:sz w:val="24"/>
                      <w:szCs w:val="24"/>
                    </w:rPr>
                  </w:pPr>
                  <w:r w:rsidRPr="00EA523A">
                    <w:rPr>
                      <w:rFonts w:hint="eastAsia"/>
                      <w:color w:val="FFFFFF" w:themeColor="background1"/>
                      <w:sz w:val="24"/>
                      <w:szCs w:val="24"/>
                    </w:rPr>
                    <w:t>無</w:t>
                  </w:r>
                </w:p>
                <w:p w:rsidR="0082665B" w:rsidRPr="00EA523A" w:rsidRDefault="0082665B" w:rsidP="0082665B">
                  <w:pPr>
                    <w:rPr>
                      <w:color w:val="FFFFFF" w:themeColor="background1"/>
                      <w:sz w:val="20"/>
                      <w:szCs w:val="20"/>
                    </w:rPr>
                  </w:pPr>
                  <w:r w:rsidRPr="00EA523A">
                    <w:rPr>
                      <w:rFonts w:hint="eastAsia"/>
                      <w:color w:val="FFFFFF" w:themeColor="background1"/>
                      <w:sz w:val="20"/>
                      <w:szCs w:val="20"/>
                    </w:rPr>
                    <w:t>★目的を達成し、現在は意義なし</w:t>
                  </w:r>
                </w:p>
                <w:p w:rsidR="0082665B" w:rsidRPr="00EA523A" w:rsidRDefault="0082665B" w:rsidP="0082665B">
                  <w:pPr>
                    <w:jc w:val="center"/>
                    <w:rPr>
                      <w:color w:val="FFFFFF" w:themeColor="background1"/>
                      <w:sz w:val="20"/>
                      <w:szCs w:val="20"/>
                    </w:rPr>
                  </w:pPr>
                  <w:r w:rsidRPr="00EA523A">
                    <w:rPr>
                      <w:rFonts w:hint="eastAsia"/>
                      <w:color w:val="FFFFFF" w:themeColor="background1"/>
                      <w:sz w:val="20"/>
                      <w:szCs w:val="20"/>
                    </w:rPr>
                    <w:t>★過去はあったが、現在は意義なし</w:t>
                  </w:r>
                </w:p>
                <w:p w:rsidR="0082665B" w:rsidRPr="00EA523A" w:rsidRDefault="0082665B" w:rsidP="0082665B">
                  <w:pPr>
                    <w:rPr>
                      <w:color w:val="FFFFFF" w:themeColor="background1"/>
                      <w:sz w:val="20"/>
                      <w:szCs w:val="20"/>
                    </w:rPr>
                  </w:pPr>
                  <w:r w:rsidRPr="00EA523A">
                    <w:rPr>
                      <w:rFonts w:hint="eastAsia"/>
                      <w:color w:val="FFFFFF" w:themeColor="background1"/>
                      <w:sz w:val="20"/>
                      <w:szCs w:val="20"/>
                    </w:rPr>
                    <w:t>★そもそも意義なし</w:t>
                  </w:r>
                </w:p>
              </w:txbxContent>
            </v:textbox>
          </v:shape>
        </w:pict>
      </w:r>
      <w:r>
        <w:rPr>
          <w:noProof/>
          <w:color w:val="FFFFFF" w:themeColor="background1"/>
          <w:sz w:val="20"/>
          <w:szCs w:val="20"/>
        </w:rPr>
        <w:pict>
          <v:shape id="_x0000_s1060" type="#_x0000_t202" style="position:absolute;margin-left:340.85pt;margin-top:11.6pt;width:126pt;height:28.5pt;z-index:251662336;v-text-anchor:middle" fillcolor="#76923c [2406]" strokecolor="#76923c [2406]">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採算性</w:t>
                  </w:r>
                </w:p>
              </w:txbxContent>
            </v:textbox>
          </v:shape>
        </w:pict>
      </w:r>
      <w:r>
        <w:rPr>
          <w:noProof/>
          <w:color w:val="FFFFFF" w:themeColor="background1"/>
          <w:sz w:val="20"/>
          <w:szCs w:val="20"/>
        </w:rPr>
        <w:pict>
          <v:shape id="_x0000_s1056" type="#_x0000_t202" style="position:absolute;margin-left:-1.15pt;margin-top:11.6pt;width:133.5pt;height:42.75pt;z-index:251658240;v-text-anchor:middle" fillcolor="#76923c [2406]" strokecolor="#76923c [2406]">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公共性・公益性</w:t>
                  </w:r>
                </w:p>
                <w:p w:rsidR="0082665B" w:rsidRPr="00460E38" w:rsidRDefault="0082665B" w:rsidP="0082665B">
                  <w:pPr>
                    <w:jc w:val="center"/>
                    <w:rPr>
                      <w:color w:val="FFFFFF" w:themeColor="background1"/>
                      <w:sz w:val="20"/>
                      <w:szCs w:val="20"/>
                    </w:rPr>
                  </w:pPr>
                  <w:r w:rsidRPr="00460E38">
                    <w:rPr>
                      <w:rFonts w:hint="eastAsia"/>
                      <w:color w:val="FFFFFF" w:themeColor="background1"/>
                      <w:sz w:val="20"/>
                      <w:szCs w:val="20"/>
                    </w:rPr>
                    <w:t>（事業そのものの意義）</w:t>
                  </w:r>
                </w:p>
              </w:txbxContent>
            </v:textbox>
          </v:shape>
        </w:pict>
      </w:r>
    </w:p>
    <w:p w:rsidR="00EA523A" w:rsidRDefault="00502311" w:rsidP="0082665B">
      <w:pPr>
        <w:jc w:val="center"/>
        <w:rPr>
          <w:sz w:val="20"/>
          <w:szCs w:val="20"/>
        </w:rPr>
      </w:pPr>
      <w:r w:rsidRPr="00502311">
        <w:rPr>
          <w:noProof/>
          <w:color w:val="FFFFFF" w:themeColor="background1"/>
          <w:sz w:val="24"/>
          <w:szCs w:val="24"/>
        </w:rPr>
        <w:pict>
          <v:shapetype id="_x0000_t32" coordsize="21600,21600" o:spt="32" o:oned="t" path="m,l21600,21600e" filled="f">
            <v:path arrowok="t" fillok="f" o:connecttype="none"/>
            <o:lock v:ext="edit" shapetype="t"/>
          </v:shapetype>
          <v:shape id="_x0000_s1102" type="#_x0000_t32" style="position:absolute;left:0;text-align:left;margin-left:229.1pt;margin-top:566.55pt;width:0;height:20.25pt;z-index:251704320" o:connectortype="straight" strokeweight="2.25pt">
            <v:stroke dashstyle="1 1" endarrow="block"/>
          </v:shape>
        </w:pict>
      </w:r>
      <w:r w:rsidRPr="00502311">
        <w:rPr>
          <w:noProof/>
          <w:color w:val="FFFFFF" w:themeColor="background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0" type="#_x0000_t67" style="position:absolute;left:0;text-align:left;margin-left:165.35pt;margin-top:512.55pt;width:130.5pt;height:21pt;z-index:251702272" fillcolor="#00b0f0" strokecolor="#4f81bd [3204]">
            <v:textbox style="layout-flow:vertical-ideographic" inset="5.85pt,.7pt,5.85pt,.7pt"/>
          </v:shape>
        </w:pict>
      </w:r>
      <w:r w:rsidRPr="00502311">
        <w:rPr>
          <w:noProof/>
          <w:color w:val="FFFFFF" w:themeColor="background1"/>
          <w:sz w:val="24"/>
          <w:szCs w:val="24"/>
        </w:rPr>
        <w:pict>
          <v:shape id="_x0000_s1090" type="#_x0000_t202" style="position:absolute;left:0;text-align:left;margin-left:23.6pt;margin-top:586.8pt;width:400.5pt;height:25.5pt;z-index:251693056;v-text-anchor:middle" fillcolor="#76923c [2406]" strokecolor="#76923c [2406]">
            <v:textbox inset="5.85pt,.7pt,5.85pt,.7pt">
              <w:txbxContent>
                <w:p w:rsidR="00096DC5" w:rsidRPr="00460E38" w:rsidRDefault="00096DC5" w:rsidP="00127AB6">
                  <w:pPr>
                    <w:jc w:val="center"/>
                    <w:rPr>
                      <w:color w:val="FFFFFF" w:themeColor="background1"/>
                      <w:sz w:val="24"/>
                      <w:szCs w:val="24"/>
                    </w:rPr>
                  </w:pPr>
                  <w:r w:rsidRPr="00460E38">
                    <w:rPr>
                      <w:rFonts w:hint="eastAsia"/>
                      <w:color w:val="FFFFFF" w:themeColor="background1"/>
                      <w:sz w:val="24"/>
                      <w:szCs w:val="24"/>
                    </w:rPr>
                    <w:t>最終判断等の結果、清算を選択することもあり得る</w:t>
                  </w:r>
                </w:p>
              </w:txbxContent>
            </v:textbox>
          </v:shape>
        </w:pict>
      </w:r>
      <w:r w:rsidRPr="00502311">
        <w:rPr>
          <w:noProof/>
          <w:color w:val="FFFFFF" w:themeColor="background1"/>
          <w:sz w:val="24"/>
          <w:szCs w:val="24"/>
        </w:rPr>
        <w:pict>
          <v:shape id="_x0000_s1089" type="#_x0000_t202" style="position:absolute;left:0;text-align:left;margin-left:23.6pt;margin-top:541.05pt;width:400.5pt;height:25.5pt;z-index:251692032;v-text-anchor:middle" fillcolor="#76923c [2406]" strokecolor="#76923c [2406]">
            <v:textbox inset="5.85pt,.7pt,5.85pt,.7pt">
              <w:txbxContent>
                <w:p w:rsidR="00096DC5" w:rsidRPr="00460E38" w:rsidRDefault="00096DC5" w:rsidP="00127AB6">
                  <w:pPr>
                    <w:jc w:val="center"/>
                    <w:rPr>
                      <w:color w:val="FFFFFF" w:themeColor="background1"/>
                      <w:sz w:val="24"/>
                      <w:szCs w:val="24"/>
                    </w:rPr>
                  </w:pPr>
                  <w:r w:rsidRPr="00460E38">
                    <w:rPr>
                      <w:rFonts w:hint="eastAsia"/>
                      <w:color w:val="FFFFFF" w:themeColor="background1"/>
                      <w:sz w:val="24"/>
                      <w:szCs w:val="24"/>
                    </w:rPr>
                    <w:t>費用（税金）対効果</w:t>
                  </w:r>
                  <w:r w:rsidR="00127AB6" w:rsidRPr="00460E38">
                    <w:rPr>
                      <w:rFonts w:hint="eastAsia"/>
                      <w:color w:val="FFFFFF" w:themeColor="background1"/>
                      <w:sz w:val="24"/>
                      <w:szCs w:val="24"/>
                    </w:rPr>
                    <w:t>（行政目的）が確保されているのかの最終判断</w:t>
                  </w:r>
                </w:p>
              </w:txbxContent>
            </v:textbox>
          </v:shape>
        </w:pict>
      </w:r>
      <w:r w:rsidRPr="00502311">
        <w:rPr>
          <w:noProof/>
          <w:color w:val="FFFFFF" w:themeColor="background1"/>
          <w:sz w:val="24"/>
          <w:szCs w:val="24"/>
        </w:rPr>
        <w:pict>
          <v:shape id="_x0000_s1101" type="#_x0000_t32" style="position:absolute;left:0;text-align:left;margin-left:8.6pt;margin-top:505.8pt;width:15pt;height:.75pt;z-index:251703296" o:connectortype="straight" strokeweight="2.25pt">
            <v:stroke endarrow="block"/>
          </v:shape>
        </w:pict>
      </w:r>
      <w:r w:rsidRPr="00502311">
        <w:rPr>
          <w:noProof/>
          <w:color w:val="FFFFFF" w:themeColor="background1"/>
          <w:sz w:val="24"/>
          <w:szCs w:val="24"/>
        </w:rPr>
        <w:pict>
          <v:shape id="_x0000_s1092" type="#_x0000_t32" style="position:absolute;left:0;text-align:left;margin-left:7.85pt;margin-top:307.05pt;width:.75pt;height:199.5pt;z-index:-251622400" o:connectortype="straight" strokeweight="2.25pt"/>
        </w:pict>
      </w:r>
      <w:r w:rsidRPr="00502311">
        <w:rPr>
          <w:noProof/>
          <w:color w:val="FFFFFF" w:themeColor="background1"/>
          <w:sz w:val="24"/>
          <w:szCs w:val="24"/>
        </w:rPr>
        <w:pict>
          <v:shape id="_x0000_s1088" type="#_x0000_t202" style="position:absolute;left:0;text-align:left;margin-left:23.6pt;margin-top:493.8pt;width:150pt;height:25.5pt;z-index:251691008;v-text-anchor:middle" fillcolor="#76923c [2406]" strokecolor="#76923c [2406]">
            <v:textbox inset="5.85pt,.7pt,5.85pt,.7pt">
              <w:txbxContent>
                <w:p w:rsidR="00096DC5" w:rsidRPr="00460E38" w:rsidRDefault="00127AB6" w:rsidP="00096DC5">
                  <w:pPr>
                    <w:jc w:val="center"/>
                    <w:rPr>
                      <w:color w:val="FFFFFF" w:themeColor="background1"/>
                      <w:sz w:val="24"/>
                      <w:szCs w:val="24"/>
                    </w:rPr>
                  </w:pPr>
                  <w:r w:rsidRPr="00460E38">
                    <w:rPr>
                      <w:rFonts w:hint="eastAsia"/>
                      <w:color w:val="FFFFFF" w:themeColor="background1"/>
                      <w:sz w:val="24"/>
                      <w:szCs w:val="24"/>
                    </w:rPr>
                    <w:t>町（直営）</w:t>
                  </w:r>
                </w:p>
              </w:txbxContent>
            </v:textbox>
          </v:shape>
        </w:pict>
      </w:r>
      <w:r w:rsidRPr="00502311">
        <w:rPr>
          <w:noProof/>
          <w:color w:val="FFFFFF" w:themeColor="background1"/>
          <w:sz w:val="24"/>
          <w:szCs w:val="24"/>
        </w:rPr>
        <w:pict>
          <v:shape id="_x0000_s1096" type="#_x0000_t32" style="position:absolute;left:0;text-align:left;margin-left:8.6pt;margin-top:472.8pt;width:15pt;height:.75pt;z-index:251698176" o:connectortype="straight" strokeweight="2.25pt">
            <v:stroke endarrow="block"/>
          </v:shape>
        </w:pict>
      </w:r>
      <w:r w:rsidRPr="00502311">
        <w:rPr>
          <w:noProof/>
          <w:color w:val="FFFFFF" w:themeColor="background1"/>
          <w:sz w:val="24"/>
          <w:szCs w:val="24"/>
        </w:rPr>
        <w:pict>
          <v:shape id="_x0000_s1087" type="#_x0000_t202" style="position:absolute;left:0;text-align:left;margin-left:23.6pt;margin-top:459.3pt;width:460.5pt;height:25.5pt;z-index:251689984;v-text-anchor:middle" fillcolor="#76923c [2406]" strokecolor="#76923c [2406]">
            <v:textbox inset="5.85pt,.7pt,5.85pt,.7pt">
              <w:txbxContent>
                <w:p w:rsidR="00096DC5" w:rsidRPr="00460E38" w:rsidRDefault="00127AB6" w:rsidP="00127AB6">
                  <w:pPr>
                    <w:jc w:val="left"/>
                    <w:rPr>
                      <w:color w:val="FFFFFF" w:themeColor="background1"/>
                      <w:sz w:val="24"/>
                      <w:szCs w:val="24"/>
                    </w:rPr>
                  </w:pPr>
                  <w:r w:rsidRPr="00460E38">
                    <w:rPr>
                      <w:rFonts w:hint="eastAsia"/>
                      <w:color w:val="FFFFFF" w:themeColor="background1"/>
                      <w:sz w:val="24"/>
                      <w:szCs w:val="24"/>
                    </w:rPr>
                    <w:t>経営体制の変更や大幅な経営改革を行うことを前提に第三セクターで引き続き実施</w:t>
                  </w:r>
                </w:p>
              </w:txbxContent>
            </v:textbox>
          </v:shape>
        </w:pict>
      </w:r>
      <w:r w:rsidRPr="00502311">
        <w:rPr>
          <w:noProof/>
          <w:color w:val="FFFFFF" w:themeColor="background1"/>
          <w:sz w:val="24"/>
          <w:szCs w:val="24"/>
        </w:rPr>
        <w:pict>
          <v:shape id="_x0000_s1095" type="#_x0000_t32" style="position:absolute;left:0;text-align:left;margin-left:8.6pt;margin-top:439.05pt;width:15pt;height:.75pt;z-index:251697152" o:connectortype="straight" strokeweight="2.25pt">
            <v:stroke endarrow="block"/>
          </v:shape>
        </w:pict>
      </w:r>
      <w:r w:rsidRPr="00502311">
        <w:rPr>
          <w:noProof/>
          <w:color w:val="FFFFFF" w:themeColor="background1"/>
          <w:sz w:val="24"/>
          <w:szCs w:val="24"/>
        </w:rPr>
        <w:pict>
          <v:shape id="_x0000_s1086" type="#_x0000_t202" style="position:absolute;left:0;text-align:left;margin-left:23.6pt;margin-top:425.55pt;width:460.5pt;height:25.5pt;z-index:251688960;v-text-anchor:middle" fillcolor="#76923c [2406]" strokecolor="#76923c [2406]">
            <v:textbox inset="5.85pt,.7pt,5.85pt,.7pt">
              <w:txbxContent>
                <w:p w:rsidR="00096DC5" w:rsidRPr="00460E38" w:rsidRDefault="00127AB6" w:rsidP="00127AB6">
                  <w:pPr>
                    <w:jc w:val="left"/>
                    <w:rPr>
                      <w:color w:val="FFFFFF" w:themeColor="background1"/>
                      <w:sz w:val="24"/>
                      <w:szCs w:val="24"/>
                    </w:rPr>
                  </w:pPr>
                  <w:r w:rsidRPr="00460E38">
                    <w:rPr>
                      <w:rFonts w:hint="eastAsia"/>
                      <w:color w:val="FFFFFF" w:themeColor="background1"/>
                      <w:sz w:val="24"/>
                      <w:szCs w:val="24"/>
                    </w:rPr>
                    <w:t>債務調整を実施した上で、第三セクターで引き続き積極的な経営改革を実施</w:t>
                  </w:r>
                </w:p>
              </w:txbxContent>
            </v:textbox>
          </v:shape>
        </w:pict>
      </w:r>
      <w:r w:rsidRPr="00502311">
        <w:rPr>
          <w:noProof/>
          <w:color w:val="FFFFFF" w:themeColor="background1"/>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9" type="#_x0000_t34" style="position:absolute;left:0;text-align:left;margin-left:118.85pt;margin-top:370.05pt;width:69.75pt;height:33.75pt;z-index:251701248" o:connectortype="elbow" adj="10792,-319680,-58761" strokeweight="2.25pt">
            <v:stroke endarrow="block"/>
          </v:shape>
        </w:pict>
      </w:r>
      <w:r w:rsidRPr="00502311">
        <w:rPr>
          <w:noProof/>
          <w:color w:val="FFFFFF" w:themeColor="background1"/>
          <w:sz w:val="24"/>
          <w:szCs w:val="24"/>
        </w:rPr>
        <w:pict>
          <v:shape id="_x0000_s1085" type="#_x0000_t202" style="position:absolute;left:0;text-align:left;margin-left:188.6pt;margin-top:394.05pt;width:264.75pt;height:25.5pt;z-index:251687936;v-text-anchor:middle" fillcolor="#76923c [2406]" strokecolor="#76923c [2406]">
            <v:textbox inset="5.85pt,.7pt,5.85pt,.7pt">
              <w:txbxContent>
                <w:p w:rsidR="00096DC5" w:rsidRPr="00460E38" w:rsidRDefault="00096DC5" w:rsidP="00096DC5">
                  <w:pPr>
                    <w:jc w:val="center"/>
                    <w:rPr>
                      <w:color w:val="FFFFFF" w:themeColor="background1"/>
                      <w:sz w:val="24"/>
                      <w:szCs w:val="24"/>
                    </w:rPr>
                  </w:pPr>
                  <w:r w:rsidRPr="00460E38">
                    <w:rPr>
                      <w:rFonts w:hint="eastAsia"/>
                      <w:color w:val="FFFFFF" w:themeColor="background1"/>
                      <w:sz w:val="24"/>
                      <w:szCs w:val="24"/>
                    </w:rPr>
                    <w:t>民間運営（指定管理者制度・委託等）</w:t>
                  </w:r>
                </w:p>
              </w:txbxContent>
            </v:textbox>
          </v:shape>
        </w:pict>
      </w:r>
      <w:r w:rsidRPr="00502311">
        <w:rPr>
          <w:noProof/>
          <w:color w:val="FFFFFF" w:themeColor="background1"/>
          <w:sz w:val="24"/>
          <w:szCs w:val="24"/>
        </w:rPr>
        <w:pict>
          <v:shape id="_x0000_s1097" type="#_x0000_t32" style="position:absolute;left:0;text-align:left;margin-left:97.85pt;margin-top:370.05pt;width:90.75pt;height:0;z-index:-251617280" o:connectortype="straight" strokeweight="2.25pt">
            <v:stroke endarrow="block"/>
          </v:shape>
        </w:pict>
      </w:r>
      <w:r w:rsidRPr="00502311">
        <w:rPr>
          <w:noProof/>
          <w:color w:val="FFFFFF" w:themeColor="background1"/>
          <w:sz w:val="24"/>
          <w:szCs w:val="24"/>
        </w:rPr>
        <w:pict>
          <v:shape id="_x0000_s1082" type="#_x0000_t202" style="position:absolute;left:0;text-align:left;margin-left:22.85pt;margin-top:355.05pt;width:75pt;height:25.5pt;z-index:251684864;v-text-anchor:middle" fillcolor="#76923c [2406]" strokecolor="#76923c [2406]">
            <v:textbox inset="5.85pt,.7pt,5.85pt,.7pt">
              <w:txbxContent>
                <w:p w:rsidR="00096DC5" w:rsidRPr="00460E38" w:rsidRDefault="00096DC5" w:rsidP="00096DC5">
                  <w:pPr>
                    <w:jc w:val="center"/>
                    <w:rPr>
                      <w:color w:val="FFFFFF" w:themeColor="background1"/>
                      <w:sz w:val="24"/>
                      <w:szCs w:val="24"/>
                    </w:rPr>
                  </w:pPr>
                  <w:r w:rsidRPr="00460E38">
                    <w:rPr>
                      <w:rFonts w:hint="eastAsia"/>
                      <w:color w:val="FFFFFF" w:themeColor="background1"/>
                      <w:sz w:val="24"/>
                      <w:szCs w:val="24"/>
                    </w:rPr>
                    <w:t>上下分離</w:t>
                  </w:r>
                </w:p>
              </w:txbxContent>
            </v:textbox>
          </v:shape>
        </w:pict>
      </w:r>
      <w:r w:rsidRPr="00502311">
        <w:rPr>
          <w:noProof/>
          <w:color w:val="FFFFFF" w:themeColor="background1"/>
          <w:sz w:val="24"/>
          <w:szCs w:val="24"/>
        </w:rPr>
        <w:pict>
          <v:shape id="_x0000_s1084" type="#_x0000_t202" style="position:absolute;left:0;text-align:left;margin-left:328.85pt;margin-top:360.3pt;width:128.25pt;height:25.5pt;z-index:251686912;v-text-anchor:middle" fillcolor="#76923c [2406]" strokecolor="#76923c [2406]">
            <v:textbox inset="5.85pt,.7pt,5.85pt,.7pt">
              <w:txbxContent>
                <w:p w:rsidR="00096DC5" w:rsidRPr="00460E38" w:rsidRDefault="00096DC5" w:rsidP="00096DC5">
                  <w:pPr>
                    <w:jc w:val="center"/>
                    <w:rPr>
                      <w:color w:val="FFFFFF" w:themeColor="background1"/>
                      <w:sz w:val="24"/>
                      <w:szCs w:val="24"/>
                    </w:rPr>
                  </w:pPr>
                  <w:r w:rsidRPr="00460E38">
                    <w:rPr>
                      <w:rFonts w:hint="eastAsia"/>
                      <w:color w:val="FFFFFF" w:themeColor="background1"/>
                      <w:sz w:val="24"/>
                      <w:szCs w:val="24"/>
                    </w:rPr>
                    <w:t>町</w:t>
                  </w:r>
                </w:p>
              </w:txbxContent>
            </v:textbox>
          </v:shape>
        </w:pict>
      </w:r>
      <w:r w:rsidRPr="00502311">
        <w:rPr>
          <w:noProof/>
          <w:color w:val="FFFFFF" w:themeColor="background1"/>
          <w:sz w:val="24"/>
          <w:szCs w:val="24"/>
        </w:rPr>
        <w:pict>
          <v:shape id="_x0000_s1083" type="#_x0000_t202" style="position:absolute;left:0;text-align:left;margin-left:188.6pt;margin-top:360.3pt;width:75pt;height:25.5pt;z-index:251685888;v-text-anchor:middle" fillcolor="#76923c [2406]" strokecolor="#76923c [2406]">
            <v:textbox inset="5.85pt,.7pt,5.85pt,.7pt">
              <w:txbxContent>
                <w:p w:rsidR="00096DC5" w:rsidRPr="00460E38" w:rsidRDefault="00096DC5" w:rsidP="00096DC5">
                  <w:pPr>
                    <w:jc w:val="center"/>
                    <w:rPr>
                      <w:color w:val="FFFFFF" w:themeColor="background1"/>
                      <w:sz w:val="24"/>
                      <w:szCs w:val="24"/>
                    </w:rPr>
                  </w:pPr>
                  <w:r w:rsidRPr="00460E38">
                    <w:rPr>
                      <w:rFonts w:hint="eastAsia"/>
                      <w:color w:val="FFFFFF" w:themeColor="background1"/>
                      <w:sz w:val="24"/>
                      <w:szCs w:val="24"/>
                    </w:rPr>
                    <w:t>資産</w:t>
                  </w:r>
                </w:p>
              </w:txbxContent>
            </v:textbox>
          </v:shape>
        </w:pict>
      </w:r>
      <w:r w:rsidRPr="00502311">
        <w:rPr>
          <w:noProof/>
          <w:color w:val="FFFFFF" w:themeColor="background1"/>
          <w:sz w:val="20"/>
          <w:szCs w:val="20"/>
        </w:rPr>
        <w:pict>
          <v:shape id="_x0000_s1081" type="#_x0000_t202" style="position:absolute;left:0;text-align:left;margin-left:22.85pt;margin-top:319.05pt;width:109.5pt;height:25.5pt;z-index:251683840;v-text-anchor:middle" fillcolor="#76923c [2406]" strokecolor="#76923c [2406]">
            <v:textbox inset="5.85pt,.7pt,5.85pt,.7pt">
              <w:txbxContent>
                <w:p w:rsidR="00096DC5" w:rsidRPr="00460E38" w:rsidRDefault="00096DC5" w:rsidP="00096DC5">
                  <w:pPr>
                    <w:jc w:val="center"/>
                    <w:rPr>
                      <w:color w:val="FFFFFF" w:themeColor="background1"/>
                      <w:sz w:val="24"/>
                      <w:szCs w:val="24"/>
                    </w:rPr>
                  </w:pPr>
                  <w:r w:rsidRPr="00460E38">
                    <w:rPr>
                      <w:rFonts w:hint="eastAsia"/>
                      <w:color w:val="FFFFFF" w:themeColor="background1"/>
                      <w:sz w:val="24"/>
                      <w:szCs w:val="24"/>
                    </w:rPr>
                    <w:t>民営化・民間売却</w:t>
                  </w:r>
                </w:p>
              </w:txbxContent>
            </v:textbox>
          </v:shape>
        </w:pict>
      </w:r>
      <w:r w:rsidRPr="00502311">
        <w:rPr>
          <w:noProof/>
          <w:color w:val="FFFFFF" w:themeColor="background1"/>
          <w:sz w:val="24"/>
          <w:szCs w:val="24"/>
        </w:rPr>
        <w:pict>
          <v:shape id="_x0000_s1098" type="#_x0000_t32" style="position:absolute;left:0;text-align:left;margin-left:263.6pt;margin-top:370.05pt;width:65.25pt;height:0;z-index:-251616256" o:connectortype="straight" strokeweight="2.25pt">
            <v:stroke endarrow="block"/>
          </v:shape>
        </w:pict>
      </w:r>
      <w:r w:rsidRPr="00502311">
        <w:rPr>
          <w:noProof/>
          <w:color w:val="FFFFFF" w:themeColor="background1"/>
          <w:sz w:val="24"/>
          <w:szCs w:val="24"/>
        </w:rPr>
        <w:pict>
          <v:shape id="_x0000_s1094" type="#_x0000_t32" style="position:absolute;left:0;text-align:left;margin-left:7.85pt;margin-top:370.05pt;width:15pt;height:.75pt;z-index:251696128" o:connectortype="straight" strokeweight="2.25pt">
            <v:stroke endarrow="block"/>
          </v:shape>
        </w:pict>
      </w:r>
      <w:r w:rsidRPr="00502311">
        <w:rPr>
          <w:noProof/>
          <w:color w:val="FFFFFF" w:themeColor="background1"/>
          <w:sz w:val="24"/>
          <w:szCs w:val="24"/>
        </w:rPr>
        <w:pict>
          <v:shape id="_x0000_s1093" type="#_x0000_t32" style="position:absolute;left:0;text-align:left;margin-left:8.6pt;margin-top:331.8pt;width:14.25pt;height:0;z-index:251695104" o:connectortype="straight" strokeweight="2.25pt">
            <v:stroke endarrow="block"/>
          </v:shape>
        </w:pict>
      </w:r>
      <w:r w:rsidRPr="00502311">
        <w:rPr>
          <w:noProof/>
          <w:color w:val="FFFFFF" w:themeColor="background1"/>
          <w:sz w:val="20"/>
          <w:szCs w:val="20"/>
        </w:rPr>
        <w:pict>
          <v:shape id="_x0000_s1080" type="#_x0000_t202" style="position:absolute;left:0;text-align:left;margin-left:-1.15pt;margin-top:283.8pt;width:109.5pt;height:25.5pt;z-index:251682816;v-text-anchor:middle" fillcolor="#76923c [2406]" strokecolor="#76923c [2406]">
            <v:textbox inset="5.85pt,.7pt,5.85pt,.7pt">
              <w:txbxContent>
                <w:p w:rsidR="00026CAB" w:rsidRPr="00460E38" w:rsidRDefault="00096DC5" w:rsidP="00026CAB">
                  <w:pPr>
                    <w:jc w:val="center"/>
                    <w:rPr>
                      <w:color w:val="FFFFFF" w:themeColor="background1"/>
                      <w:sz w:val="24"/>
                      <w:szCs w:val="24"/>
                    </w:rPr>
                  </w:pPr>
                  <w:r w:rsidRPr="00460E38">
                    <w:rPr>
                      <w:rFonts w:hint="eastAsia"/>
                      <w:color w:val="FFFFFF" w:themeColor="background1"/>
                      <w:sz w:val="24"/>
                      <w:szCs w:val="24"/>
                    </w:rPr>
                    <w:t>事業手法の選択</w:t>
                  </w:r>
                </w:p>
              </w:txbxContent>
            </v:textbox>
          </v:shape>
        </w:pict>
      </w:r>
      <w:r w:rsidRPr="00502311">
        <w:rPr>
          <w:noProof/>
          <w:color w:val="FFFFFF" w:themeColor="background1"/>
          <w:sz w:val="20"/>
          <w:szCs w:val="20"/>
        </w:rPr>
        <w:pict>
          <v:shape id="_x0000_s1077" type="#_x0000_t32" style="position:absolute;left:0;text-align:left;margin-left:46.85pt;margin-top:42.3pt;width:2.25pt;height:241.5pt;z-index:-251636736" o:connectortype="straight" strokeweight="2.25pt">
            <v:stroke endarrow="block"/>
          </v:shape>
        </w:pict>
      </w:r>
      <w:r w:rsidRPr="00502311">
        <w:rPr>
          <w:noProof/>
          <w:color w:val="FFFFFF" w:themeColor="background1"/>
          <w:sz w:val="20"/>
          <w:szCs w:val="20"/>
        </w:rPr>
        <w:pict>
          <v:shape id="_x0000_s1076" type="#_x0000_t202" style="position:absolute;left:0;text-align:left;margin-left:29.6pt;margin-top:240.3pt;width:36.75pt;height:28.5pt;z-index:251678720;v-text-anchor:middle" fillcolor="#e36c0a [2409]" strokecolor="#e36c0a [2409]">
            <v:textbox inset="5.85pt,.7pt,5.85pt,.7pt">
              <w:txbxContent>
                <w:p w:rsidR="00026CAB" w:rsidRPr="00EA523A" w:rsidRDefault="00026CAB" w:rsidP="00026CAB">
                  <w:pPr>
                    <w:jc w:val="center"/>
                    <w:rPr>
                      <w:color w:val="FFFFFF" w:themeColor="background1"/>
                      <w:sz w:val="24"/>
                      <w:szCs w:val="24"/>
                    </w:rPr>
                  </w:pPr>
                  <w:r w:rsidRPr="00EA523A">
                    <w:rPr>
                      <w:rFonts w:hint="eastAsia"/>
                      <w:color w:val="FFFFFF" w:themeColor="background1"/>
                      <w:sz w:val="24"/>
                      <w:szCs w:val="24"/>
                    </w:rPr>
                    <w:t>無</w:t>
                  </w:r>
                </w:p>
              </w:txbxContent>
            </v:textbox>
          </v:shape>
        </w:pict>
      </w:r>
      <w:r w:rsidRPr="00502311">
        <w:rPr>
          <w:noProof/>
          <w:color w:val="FFFFFF" w:themeColor="background1"/>
          <w:sz w:val="20"/>
          <w:szCs w:val="20"/>
        </w:rPr>
        <w:pict>
          <v:shape id="_x0000_s1079" type="#_x0000_t34" style="position:absolute;left:0;text-align:left;margin-left:256.1pt;margin-top:217.05pt;width:84.75pt;height:42.75pt;z-index:251681792" o:connectortype="elbow" adj="10794,-175074,-83342" strokeweight="2.25pt">
            <v:stroke endarrow="block"/>
          </v:shape>
        </w:pict>
      </w:r>
      <w:r w:rsidRPr="00502311">
        <w:rPr>
          <w:noProof/>
          <w:color w:val="FFFFFF" w:themeColor="background1"/>
          <w:sz w:val="20"/>
          <w:szCs w:val="20"/>
        </w:rPr>
        <w:pict>
          <v:shape id="_x0000_s1078" type="#_x0000_t202" style="position:absolute;left:0;text-align:left;margin-left:340.85pt;margin-top:244.05pt;width:143.25pt;height:39.75pt;z-index:251680768;v-text-anchor:middle" fillcolor="#76923c [2406]" strokecolor="#76923c [2406]">
            <v:textbox inset="5.85pt,.7pt,5.85pt,.7pt">
              <w:txbxContent>
                <w:p w:rsidR="00026CAB" w:rsidRPr="00460E38" w:rsidRDefault="00026CAB" w:rsidP="00026CAB">
                  <w:pPr>
                    <w:jc w:val="center"/>
                    <w:rPr>
                      <w:color w:val="FFFFFF" w:themeColor="background1"/>
                      <w:sz w:val="22"/>
                    </w:rPr>
                  </w:pPr>
                  <w:r w:rsidRPr="00460E38">
                    <w:rPr>
                      <w:rFonts w:hint="eastAsia"/>
                      <w:color w:val="FFFFFF" w:themeColor="background1"/>
                      <w:sz w:val="22"/>
                    </w:rPr>
                    <w:t>経営努力を行いつつ、第三セクターで引き続き実施</w:t>
                  </w:r>
                </w:p>
              </w:txbxContent>
            </v:textbox>
          </v:shape>
        </w:pict>
      </w:r>
      <w:r w:rsidRPr="00502311">
        <w:rPr>
          <w:noProof/>
          <w:color w:val="FFFFFF" w:themeColor="background1"/>
          <w:sz w:val="20"/>
          <w:szCs w:val="20"/>
        </w:rPr>
        <w:pict>
          <v:shape id="_x0000_s1075" type="#_x0000_t32" style="position:absolute;left:0;text-align:left;margin-left:103.1pt;margin-top:217.05pt;width:237pt;height:0;z-index:-251638784" o:connectortype="straight" strokeweight="2.25pt">
            <v:stroke endarrow="block"/>
          </v:shape>
        </w:pict>
      </w:r>
      <w:r w:rsidRPr="00502311">
        <w:rPr>
          <w:noProof/>
          <w:color w:val="FFFFFF" w:themeColor="background1"/>
          <w:sz w:val="20"/>
          <w:szCs w:val="20"/>
        </w:rPr>
        <w:pict>
          <v:shape id="_x0000_s1059" type="#_x0000_t202" style="position:absolute;left:0;text-align:left;margin-left:-1.15pt;margin-top:203.55pt;width:104.25pt;height:28.5pt;z-index:251661312;v-text-anchor:middle" fillcolor="#76923c [2406]" strokecolor="#76923c [2406]">
            <v:textbox inset="5.85pt,.7pt,5.85pt,.7pt">
              <w:txbxContent>
                <w:p w:rsidR="0082665B" w:rsidRPr="00460E38" w:rsidRDefault="00116147" w:rsidP="00116147">
                  <w:pPr>
                    <w:jc w:val="center"/>
                    <w:rPr>
                      <w:color w:val="FFFFFF" w:themeColor="background1"/>
                      <w:sz w:val="24"/>
                      <w:szCs w:val="24"/>
                    </w:rPr>
                  </w:pPr>
                  <w:r w:rsidRPr="00460E38">
                    <w:rPr>
                      <w:rFonts w:hint="eastAsia"/>
                      <w:color w:val="FFFFFF" w:themeColor="background1"/>
                      <w:sz w:val="24"/>
                      <w:szCs w:val="24"/>
                    </w:rPr>
                    <w:t>採算性</w:t>
                  </w:r>
                </w:p>
              </w:txbxContent>
            </v:textbox>
          </v:shape>
        </w:pict>
      </w:r>
      <w:r w:rsidRPr="00502311">
        <w:rPr>
          <w:noProof/>
          <w:color w:val="FFFFFF" w:themeColor="background1"/>
          <w:sz w:val="20"/>
          <w:szCs w:val="20"/>
        </w:rPr>
        <w:pict>
          <v:shape id="_x0000_s1062" type="#_x0000_t202" style="position:absolute;left:0;text-align:left;margin-left:151.85pt;margin-top:203.55pt;width:36.75pt;height:28.5pt;z-index:251664384;v-text-anchor:middle" fillcolor="#548dd4 [1951]" strokecolor="#548dd4 [1951]">
            <v:textbox inset="5.85pt,.7pt,5.85pt,.7pt">
              <w:txbxContent>
                <w:p w:rsidR="0082665B" w:rsidRPr="00460E38" w:rsidRDefault="00116147" w:rsidP="00116147">
                  <w:pPr>
                    <w:jc w:val="center"/>
                    <w:rPr>
                      <w:color w:val="FFFFFF" w:themeColor="background1"/>
                      <w:sz w:val="24"/>
                      <w:szCs w:val="24"/>
                    </w:rPr>
                  </w:pPr>
                  <w:r w:rsidRPr="00460E38">
                    <w:rPr>
                      <w:rFonts w:hint="eastAsia"/>
                      <w:color w:val="FFFFFF" w:themeColor="background1"/>
                      <w:sz w:val="24"/>
                      <w:szCs w:val="24"/>
                    </w:rPr>
                    <w:t>有</w:t>
                  </w:r>
                </w:p>
              </w:txbxContent>
            </v:textbox>
          </v:shape>
        </w:pict>
      </w:r>
      <w:r w:rsidRPr="00502311">
        <w:rPr>
          <w:noProof/>
          <w:color w:val="FFFFFF" w:themeColor="background1"/>
          <w:sz w:val="20"/>
          <w:szCs w:val="20"/>
        </w:rPr>
        <w:pict>
          <v:shape id="_x0000_s1074" type="#_x0000_t202" style="position:absolute;left:0;text-align:left;margin-left:340.1pt;margin-top:203.55pt;width:143.25pt;height:28.5pt;z-index:251676672;v-text-anchor:middle" fillcolor="#76923c [2406]" strokecolor="#76923c [2406]">
            <v:textbox inset="5.85pt,.7pt,5.85pt,.7pt">
              <w:txbxContent>
                <w:p w:rsidR="00026CAB" w:rsidRPr="00460E38" w:rsidRDefault="00026CAB" w:rsidP="00026CAB">
                  <w:pPr>
                    <w:jc w:val="center"/>
                    <w:rPr>
                      <w:color w:val="FFFFFF" w:themeColor="background1"/>
                      <w:sz w:val="24"/>
                      <w:szCs w:val="24"/>
                    </w:rPr>
                  </w:pPr>
                  <w:r w:rsidRPr="00460E38">
                    <w:rPr>
                      <w:rFonts w:hint="eastAsia"/>
                      <w:color w:val="FFFFFF" w:themeColor="background1"/>
                      <w:sz w:val="24"/>
                      <w:szCs w:val="24"/>
                    </w:rPr>
                    <w:t>民営化・民間売却</w:t>
                  </w:r>
                </w:p>
              </w:txbxContent>
            </v:textbox>
          </v:shape>
        </w:pict>
      </w:r>
      <w:r w:rsidRPr="00502311">
        <w:rPr>
          <w:noProof/>
          <w:color w:val="FFFFFF" w:themeColor="background1"/>
          <w:sz w:val="20"/>
          <w:szCs w:val="20"/>
        </w:rPr>
        <w:pict>
          <v:shape id="_x0000_s1064" type="#_x0000_t202" style="position:absolute;left:0;text-align:left;margin-left:340.85pt;margin-top:78.3pt;width:82.5pt;height:28.5pt;z-index:251666432;v-text-anchor:middle" fillcolor="#76923c [2406]" strokecolor="#76923c [2406]">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事業性</w:t>
                  </w:r>
                </w:p>
              </w:txbxContent>
            </v:textbox>
          </v:shape>
        </w:pict>
      </w:r>
      <w:r w:rsidRPr="00502311">
        <w:rPr>
          <w:noProof/>
          <w:color w:val="FFFFFF" w:themeColor="background1"/>
          <w:sz w:val="20"/>
          <w:szCs w:val="20"/>
        </w:rPr>
        <w:pict>
          <v:shape id="_x0000_s1073" type="#_x0000_t32" style="position:absolute;left:0;text-align:left;margin-left:412.1pt;margin-top:115.8pt;width:0;height:47.25pt;z-index:-251640832" o:connectortype="straight" strokeweight="2.25pt">
            <v:stroke endarrow="block"/>
          </v:shape>
        </w:pict>
      </w:r>
      <w:r w:rsidRPr="00502311">
        <w:rPr>
          <w:noProof/>
          <w:color w:val="FFFFFF" w:themeColor="background1"/>
          <w:sz w:val="20"/>
          <w:szCs w:val="20"/>
        </w:rPr>
        <w:pict>
          <v:shape id="_x0000_s1072" type="#_x0000_t32" style="position:absolute;left:0;text-align:left;margin-left:361.85pt;margin-top:115.8pt;width:50.25pt;height:0;z-index:251674624" o:connectortype="straight" strokeweight="2.25pt"/>
        </w:pict>
      </w:r>
      <w:r w:rsidRPr="00502311">
        <w:rPr>
          <w:noProof/>
          <w:color w:val="FFFFFF" w:themeColor="background1"/>
          <w:sz w:val="20"/>
          <w:szCs w:val="20"/>
        </w:rPr>
        <w:pict>
          <v:shape id="_x0000_s1071" type="#_x0000_t32" style="position:absolute;left:0;text-align:left;margin-left:359.6pt;margin-top:28.05pt;width:2.25pt;height:135pt;z-index:-251642880" o:connectortype="straight" strokeweight="2.25pt">
            <v:stroke endarrow="block"/>
          </v:shape>
        </w:pict>
      </w:r>
      <w:r w:rsidRPr="00502311">
        <w:rPr>
          <w:noProof/>
          <w:color w:val="FFFFFF" w:themeColor="background1"/>
          <w:sz w:val="20"/>
          <w:szCs w:val="20"/>
        </w:rPr>
        <w:pict>
          <v:shape id="_x0000_s1070" type="#_x0000_t32" style="position:absolute;left:0;text-align:left;margin-left:444.35pt;margin-top:28.05pt;width:2.25pt;height:135pt;z-index:-251643904" o:connectortype="straight" strokeweight="2.25pt">
            <v:stroke endarrow="block"/>
          </v:shape>
        </w:pict>
      </w:r>
      <w:r w:rsidRPr="00502311">
        <w:rPr>
          <w:noProof/>
          <w:color w:val="FFFFFF" w:themeColor="background1"/>
          <w:sz w:val="20"/>
          <w:szCs w:val="20"/>
        </w:rPr>
        <w:pict>
          <v:shape id="_x0000_s1058" type="#_x0000_t202" style="position:absolute;left:0;text-align:left;margin-left:-1.15pt;margin-top:93.3pt;width:158.25pt;height:35.25pt;z-index:251660288" fillcolor="#548dd4 [1951]" strokecolor="#548dd4 [1951]">
            <v:textbox inset="5.85pt,.7pt,5.85pt,.7pt">
              <w:txbxContent>
                <w:p w:rsidR="0082665B" w:rsidRPr="00460E38" w:rsidRDefault="00116147" w:rsidP="00116147">
                  <w:pPr>
                    <w:jc w:val="center"/>
                    <w:rPr>
                      <w:color w:val="FFFFFF" w:themeColor="background1"/>
                      <w:sz w:val="24"/>
                      <w:szCs w:val="24"/>
                    </w:rPr>
                  </w:pPr>
                  <w:r w:rsidRPr="00460E38">
                    <w:rPr>
                      <w:rFonts w:hint="eastAsia"/>
                      <w:color w:val="FFFFFF" w:themeColor="background1"/>
                      <w:sz w:val="24"/>
                      <w:szCs w:val="24"/>
                    </w:rPr>
                    <w:t>有</w:t>
                  </w:r>
                </w:p>
                <w:p w:rsidR="00116147" w:rsidRPr="00460E38" w:rsidRDefault="00116147" w:rsidP="0082665B">
                  <w:pPr>
                    <w:rPr>
                      <w:color w:val="FFFFFF" w:themeColor="background1"/>
                      <w:sz w:val="20"/>
                      <w:szCs w:val="20"/>
                    </w:rPr>
                  </w:pPr>
                  <w:r w:rsidRPr="00460E38">
                    <w:rPr>
                      <w:rFonts w:hint="eastAsia"/>
                      <w:color w:val="FFFFFF" w:themeColor="background1"/>
                      <w:sz w:val="20"/>
                      <w:szCs w:val="20"/>
                    </w:rPr>
                    <w:t>★再生不能・再生可能の判断開始</w:t>
                  </w:r>
                </w:p>
              </w:txbxContent>
            </v:textbox>
          </v:shape>
        </w:pict>
      </w:r>
      <w:r w:rsidRPr="00502311">
        <w:rPr>
          <w:noProof/>
          <w:color w:val="FFFFFF" w:themeColor="background1"/>
          <w:sz w:val="20"/>
          <w:szCs w:val="20"/>
        </w:rPr>
        <w:pict>
          <v:shape id="_x0000_s1069" type="#_x0000_t32" style="position:absolute;left:0;text-align:left;margin-left:132.35pt;margin-top:13.05pt;width:208.5pt;height:.75pt;z-index:-251644928" o:connectortype="straight" strokeweight="2.25pt">
            <v:stroke endarrow="block"/>
          </v:shape>
        </w:pict>
      </w:r>
      <w:r w:rsidRPr="00502311">
        <w:rPr>
          <w:noProof/>
          <w:color w:val="FFFFFF" w:themeColor="background1"/>
          <w:sz w:val="20"/>
          <w:szCs w:val="20"/>
        </w:rPr>
        <w:pict>
          <v:shape id="_x0000_s1063" type="#_x0000_t202" style="position:absolute;left:0;text-align:left;margin-left:427.1pt;margin-top:42.3pt;width:39.75pt;height:28.5pt;z-index:251665408;v-text-anchor:middle" fillcolor="#548dd4 [1951]" strokecolor="#548dd4 [1951]">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有</w:t>
                  </w:r>
                </w:p>
              </w:txbxContent>
            </v:textbox>
          </v:shape>
        </w:pict>
      </w:r>
      <w:r w:rsidRPr="00502311">
        <w:rPr>
          <w:noProof/>
          <w:color w:val="FFFFFF" w:themeColor="background1"/>
          <w:sz w:val="20"/>
          <w:szCs w:val="20"/>
        </w:rPr>
        <w:pict>
          <v:shape id="_x0000_s1061" type="#_x0000_t202" style="position:absolute;left:0;text-align:left;margin-left:340.85pt;margin-top:42.3pt;width:39.75pt;height:28.5pt;z-index:251663360;v-text-anchor:middle" fillcolor="#e36c0a [2409]" strokecolor="#e36c0a [2409]">
            <v:textbox inset="5.85pt,.7pt,5.85pt,.7pt">
              <w:txbxContent>
                <w:p w:rsidR="0082665B" w:rsidRPr="00EA523A" w:rsidRDefault="0082665B" w:rsidP="0082665B">
                  <w:pPr>
                    <w:jc w:val="center"/>
                    <w:rPr>
                      <w:color w:val="FFFFFF" w:themeColor="background1"/>
                      <w:sz w:val="24"/>
                      <w:szCs w:val="24"/>
                    </w:rPr>
                  </w:pPr>
                  <w:r w:rsidRPr="00EA523A">
                    <w:rPr>
                      <w:rFonts w:hint="eastAsia"/>
                      <w:color w:val="FFFFFF" w:themeColor="background1"/>
                      <w:sz w:val="24"/>
                      <w:szCs w:val="24"/>
                    </w:rPr>
                    <w:t>無</w:t>
                  </w:r>
                </w:p>
              </w:txbxContent>
            </v:textbox>
          </v:shape>
        </w:pict>
      </w:r>
      <w:r w:rsidRPr="00502311">
        <w:rPr>
          <w:noProof/>
          <w:color w:val="FFFFFF" w:themeColor="background1"/>
          <w:sz w:val="20"/>
          <w:szCs w:val="20"/>
        </w:rPr>
        <w:pict>
          <v:shape id="_x0000_s1068" type="#_x0000_t202" style="position:absolute;left:0;text-align:left;margin-left:392.6pt;margin-top:163.05pt;width:104.25pt;height:28.5pt;z-index:251670528;v-text-anchor:middle" fillcolor="#76923c [2406]" strokecolor="#76923c [2406]">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民営化・民間売却</w:t>
                  </w:r>
                </w:p>
              </w:txbxContent>
            </v:textbox>
          </v:shape>
        </w:pict>
      </w:r>
      <w:r w:rsidRPr="00502311">
        <w:rPr>
          <w:noProof/>
          <w:color w:val="FFFFFF" w:themeColor="background1"/>
          <w:sz w:val="20"/>
          <w:szCs w:val="20"/>
        </w:rPr>
        <w:pict>
          <v:shape id="_x0000_s1067" type="#_x0000_t202" style="position:absolute;left:0;text-align:left;margin-left:340.85pt;margin-top:162.3pt;width:39.75pt;height:28.5pt;z-index:251669504;v-text-anchor:middle" fillcolor="#76923c [2406]" strokecolor="#76923c [2406]">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清算</w:t>
                  </w:r>
                </w:p>
              </w:txbxContent>
            </v:textbox>
          </v:shape>
        </w:pict>
      </w:r>
      <w:r>
        <w:rPr>
          <w:noProof/>
          <w:sz w:val="20"/>
          <w:szCs w:val="20"/>
        </w:rPr>
        <w:pict>
          <v:shape id="_x0000_s1066" type="#_x0000_t202" style="position:absolute;left:0;text-align:left;margin-left:394.85pt;margin-top:121.8pt;width:39.75pt;height:28.5pt;z-index:251668480;v-text-anchor:middle" fillcolor="#548dd4 [1951]" strokecolor="#548dd4 [1951]">
            <v:textbox inset="5.85pt,.7pt,5.85pt,.7pt">
              <w:txbxContent>
                <w:p w:rsidR="0082665B" w:rsidRPr="00460E38" w:rsidRDefault="0082665B" w:rsidP="0082665B">
                  <w:pPr>
                    <w:jc w:val="center"/>
                    <w:rPr>
                      <w:color w:val="FFFFFF" w:themeColor="background1"/>
                      <w:sz w:val="24"/>
                      <w:szCs w:val="24"/>
                    </w:rPr>
                  </w:pPr>
                  <w:r w:rsidRPr="00460E38">
                    <w:rPr>
                      <w:rFonts w:hint="eastAsia"/>
                      <w:color w:val="FFFFFF" w:themeColor="background1"/>
                      <w:sz w:val="24"/>
                      <w:szCs w:val="24"/>
                    </w:rPr>
                    <w:t>有</w:t>
                  </w:r>
                </w:p>
              </w:txbxContent>
            </v:textbox>
          </v:shape>
        </w:pict>
      </w:r>
      <w:r>
        <w:rPr>
          <w:noProof/>
          <w:sz w:val="20"/>
          <w:szCs w:val="20"/>
        </w:rPr>
        <w:pict>
          <v:shape id="_x0000_s1065" type="#_x0000_t202" style="position:absolute;left:0;text-align:left;margin-left:340.85pt;margin-top:121.8pt;width:39.75pt;height:28.5pt;z-index:251667456;v-text-anchor:middle" fillcolor="#e36c0a [2409]" strokecolor="#e36c0a [2409]">
            <v:textbox inset="5.85pt,.7pt,5.85pt,.7pt">
              <w:txbxContent>
                <w:p w:rsidR="0082665B" w:rsidRPr="00EA523A" w:rsidRDefault="0082665B" w:rsidP="0082665B">
                  <w:pPr>
                    <w:jc w:val="center"/>
                    <w:rPr>
                      <w:color w:val="FFFFFF" w:themeColor="background1"/>
                      <w:sz w:val="24"/>
                      <w:szCs w:val="24"/>
                    </w:rPr>
                  </w:pPr>
                  <w:r w:rsidRPr="00EA523A">
                    <w:rPr>
                      <w:rFonts w:hint="eastAsia"/>
                      <w:color w:val="FFFFFF" w:themeColor="background1"/>
                      <w:sz w:val="24"/>
                      <w:szCs w:val="24"/>
                    </w:rPr>
                    <w:t>無</w:t>
                  </w:r>
                </w:p>
              </w:txbxContent>
            </v:textbox>
          </v:shape>
        </w:pict>
      </w:r>
      <w:r w:rsidR="0082665B">
        <w:rPr>
          <w:sz w:val="20"/>
          <w:szCs w:val="20"/>
        </w:rPr>
        <w:br w:type="page"/>
      </w:r>
    </w:p>
    <w:p w:rsidR="00C545C1" w:rsidRDefault="00C545C1" w:rsidP="00D11721">
      <w:pPr>
        <w:ind w:left="225"/>
        <w:jc w:val="left"/>
        <w:rPr>
          <w:rFonts w:asciiTheme="majorEastAsia" w:eastAsiaTheme="majorEastAsia" w:hAnsiTheme="majorEastAsia"/>
          <w:sz w:val="24"/>
          <w:szCs w:val="24"/>
        </w:rPr>
        <w:sectPr w:rsidR="00C545C1" w:rsidSect="00EC3DE3">
          <w:footerReference w:type="even" r:id="rId8"/>
          <w:footerReference w:type="default" r:id="rId9"/>
          <w:footerReference w:type="first" r:id="rId10"/>
          <w:pgSz w:w="11906" w:h="16838" w:code="9"/>
          <w:pgMar w:top="1702" w:right="1276" w:bottom="1560" w:left="1418" w:header="851" w:footer="567" w:gutter="0"/>
          <w:pgNumType w:fmt="numberInDash" w:start="0"/>
          <w:cols w:space="425"/>
          <w:titlePg/>
          <w:docGrid w:linePitch="360"/>
        </w:sectPr>
      </w:pPr>
    </w:p>
    <w:p w:rsidR="00C545C1" w:rsidRDefault="007E47AC" w:rsidP="007E47AC">
      <w:pPr>
        <w:ind w:leftChars="107" w:left="225" w:firstLineChars="300" w:firstLine="72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財務諸表評価方式（一般法人）　　　　　　　　　　　　　　　　　　　　　　　　　標準評価方式</w:t>
      </w:r>
      <w:r w:rsidR="00C545C1">
        <w:rPr>
          <w:rFonts w:asciiTheme="majorEastAsia" w:eastAsiaTheme="majorEastAsia" w:hAnsiTheme="majorEastAsia" w:hint="eastAsia"/>
          <w:sz w:val="24"/>
          <w:szCs w:val="24"/>
        </w:rPr>
        <w:t>【</w:t>
      </w:r>
      <w:r w:rsidR="00D11721" w:rsidRPr="00D11721">
        <w:rPr>
          <w:rFonts w:asciiTheme="majorEastAsia" w:eastAsiaTheme="majorEastAsia" w:hAnsiTheme="majorEastAsia" w:hint="eastAsia"/>
          <w:sz w:val="24"/>
          <w:szCs w:val="24"/>
        </w:rPr>
        <w:t>別紙２</w:t>
      </w:r>
      <w:r w:rsidR="00C545C1">
        <w:rPr>
          <w:rFonts w:asciiTheme="majorEastAsia" w:eastAsiaTheme="majorEastAsia" w:hAnsiTheme="majorEastAsia" w:hint="eastAsia"/>
          <w:sz w:val="24"/>
          <w:szCs w:val="24"/>
        </w:rPr>
        <w:t>】</w:t>
      </w:r>
      <w:r w:rsidR="00D11721" w:rsidRPr="00D11721">
        <w:rPr>
          <w:rFonts w:asciiTheme="majorEastAsia" w:eastAsiaTheme="majorEastAsia" w:hAnsiTheme="majorEastAsia" w:hint="eastAsia"/>
          <w:sz w:val="24"/>
          <w:szCs w:val="24"/>
        </w:rPr>
        <w:t xml:space="preserve">　</w:t>
      </w:r>
    </w:p>
    <w:tbl>
      <w:tblPr>
        <w:tblStyle w:val="a6"/>
        <w:tblW w:w="14063" w:type="dxa"/>
        <w:tblInd w:w="-459" w:type="dxa"/>
        <w:tblLayout w:type="fixed"/>
        <w:tblLook w:val="04A0"/>
      </w:tblPr>
      <w:tblGrid>
        <w:gridCol w:w="425"/>
        <w:gridCol w:w="426"/>
        <w:gridCol w:w="3638"/>
        <w:gridCol w:w="1040"/>
        <w:gridCol w:w="1134"/>
        <w:gridCol w:w="1275"/>
        <w:gridCol w:w="1276"/>
        <w:gridCol w:w="992"/>
        <w:gridCol w:w="993"/>
        <w:gridCol w:w="992"/>
        <w:gridCol w:w="992"/>
        <w:gridCol w:w="880"/>
      </w:tblGrid>
      <w:tr w:rsidR="007E47AC" w:rsidTr="001A135D">
        <w:tc>
          <w:tcPr>
            <w:tcW w:w="4489" w:type="dxa"/>
            <w:gridSpan w:val="3"/>
            <w:vMerge w:val="restart"/>
          </w:tcPr>
          <w:p w:rsidR="007E47AC" w:rsidRPr="007E47AC" w:rsidRDefault="00502311">
            <w:pPr>
              <w:widowControl/>
              <w:jc w:val="left"/>
              <w:rPr>
                <w:rFonts w:asciiTheme="majorEastAsia" w:eastAsiaTheme="majorEastAsia" w:hAnsiTheme="majorEastAsia"/>
                <w:sz w:val="20"/>
                <w:szCs w:val="20"/>
              </w:rPr>
            </w:pPr>
            <w:r>
              <w:rPr>
                <w:rFonts w:asciiTheme="majorEastAsia" w:eastAsiaTheme="majorEastAsia" w:hAnsiTheme="majorEastAsia"/>
                <w:noProof/>
                <w:sz w:val="20"/>
                <w:szCs w:val="20"/>
              </w:rPr>
              <w:pict>
                <v:shape id="_x0000_s1104" type="#_x0000_t32" style="position:absolute;margin-left:-5.55pt;margin-top:3.05pt;width:223.2pt;height:60.7pt;z-index:251707392" o:connectortype="straight"/>
              </w:pict>
            </w:r>
          </w:p>
        </w:tc>
        <w:tc>
          <w:tcPr>
            <w:tcW w:w="9574" w:type="dxa"/>
            <w:gridSpan w:val="9"/>
          </w:tcPr>
          <w:p w:rsidR="007E47AC" w:rsidRPr="007E47AC" w:rsidRDefault="007E47AC" w:rsidP="007E47AC">
            <w:pPr>
              <w:widowControl/>
              <w:jc w:val="center"/>
              <w:rPr>
                <w:rFonts w:asciiTheme="majorEastAsia" w:eastAsiaTheme="majorEastAsia" w:hAnsiTheme="majorEastAsia"/>
                <w:sz w:val="20"/>
                <w:szCs w:val="20"/>
              </w:rPr>
            </w:pPr>
            <w:r w:rsidRPr="007E47AC">
              <w:rPr>
                <w:rFonts w:asciiTheme="majorEastAsia" w:eastAsiaTheme="majorEastAsia" w:hAnsiTheme="majorEastAsia" w:hint="eastAsia"/>
                <w:sz w:val="20"/>
                <w:szCs w:val="20"/>
              </w:rPr>
              <w:t>損益計算書上の経常損益</w:t>
            </w:r>
          </w:p>
        </w:tc>
      </w:tr>
      <w:tr w:rsidR="007E47AC" w:rsidTr="001A135D">
        <w:tc>
          <w:tcPr>
            <w:tcW w:w="4489" w:type="dxa"/>
            <w:gridSpan w:val="3"/>
            <w:vMerge/>
          </w:tcPr>
          <w:p w:rsidR="007E47AC" w:rsidRPr="007E47AC" w:rsidRDefault="007E47AC">
            <w:pPr>
              <w:widowControl/>
              <w:jc w:val="left"/>
              <w:rPr>
                <w:rFonts w:asciiTheme="majorEastAsia" w:eastAsiaTheme="majorEastAsia" w:hAnsiTheme="majorEastAsia"/>
                <w:sz w:val="20"/>
                <w:szCs w:val="20"/>
              </w:rPr>
            </w:pPr>
          </w:p>
        </w:tc>
        <w:tc>
          <w:tcPr>
            <w:tcW w:w="4725" w:type="dxa"/>
            <w:gridSpan w:val="4"/>
          </w:tcPr>
          <w:p w:rsidR="007E47AC" w:rsidRPr="007E47AC" w:rsidRDefault="007E47AC" w:rsidP="007E47AC">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経常損益が黒字</w:t>
            </w:r>
          </w:p>
        </w:tc>
        <w:tc>
          <w:tcPr>
            <w:tcW w:w="4849" w:type="dxa"/>
            <w:gridSpan w:val="5"/>
          </w:tcPr>
          <w:p w:rsidR="007E47AC" w:rsidRPr="007E47AC" w:rsidRDefault="007E47AC" w:rsidP="007E47AC">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経常損益が赤字</w:t>
            </w:r>
          </w:p>
        </w:tc>
      </w:tr>
      <w:tr w:rsidR="007E47AC" w:rsidTr="005803BE">
        <w:tc>
          <w:tcPr>
            <w:tcW w:w="4489" w:type="dxa"/>
            <w:gridSpan w:val="3"/>
            <w:vMerge/>
          </w:tcPr>
          <w:p w:rsidR="007E47AC" w:rsidRPr="007E47AC" w:rsidRDefault="007E47AC">
            <w:pPr>
              <w:widowControl/>
              <w:jc w:val="left"/>
              <w:rPr>
                <w:rFonts w:asciiTheme="majorEastAsia" w:eastAsiaTheme="majorEastAsia" w:hAnsiTheme="majorEastAsia"/>
                <w:sz w:val="20"/>
                <w:szCs w:val="20"/>
              </w:rPr>
            </w:pPr>
          </w:p>
        </w:tc>
        <w:tc>
          <w:tcPr>
            <w:tcW w:w="1040" w:type="dxa"/>
            <w:vMerge w:val="restart"/>
          </w:tcPr>
          <w:p w:rsidR="007E47AC" w:rsidRPr="007E47AC" w:rsidRDefault="007E47AC">
            <w:pPr>
              <w:widowControl/>
              <w:jc w:val="left"/>
              <w:rPr>
                <w:rFonts w:asciiTheme="majorEastAsia" w:eastAsiaTheme="majorEastAsia" w:hAnsiTheme="majorEastAsia"/>
                <w:sz w:val="18"/>
                <w:szCs w:val="18"/>
              </w:rPr>
            </w:pPr>
            <w:r w:rsidRPr="007E47AC">
              <w:rPr>
                <w:rFonts w:asciiTheme="majorEastAsia" w:eastAsiaTheme="majorEastAsia" w:hAnsiTheme="majorEastAsia" w:hint="eastAsia"/>
                <w:sz w:val="18"/>
                <w:szCs w:val="18"/>
              </w:rPr>
              <w:t>債務超過額の1/3以上</w:t>
            </w:r>
          </w:p>
        </w:tc>
        <w:tc>
          <w:tcPr>
            <w:tcW w:w="1134" w:type="dxa"/>
            <w:vMerge w:val="restart"/>
          </w:tcPr>
          <w:p w:rsidR="007E47AC" w:rsidRPr="007E47AC" w:rsidRDefault="007E47AC">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債務超過額の1/5以上1/3未満</w:t>
            </w:r>
          </w:p>
        </w:tc>
        <w:tc>
          <w:tcPr>
            <w:tcW w:w="1275" w:type="dxa"/>
            <w:vMerge w:val="restart"/>
          </w:tcPr>
          <w:p w:rsidR="007E47AC" w:rsidRPr="007E47AC" w:rsidRDefault="007E47AC">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w:t>
            </w:r>
            <w:r w:rsidR="001A135D">
              <w:rPr>
                <w:rFonts w:asciiTheme="majorEastAsia" w:eastAsiaTheme="majorEastAsia" w:hAnsiTheme="majorEastAsia" w:hint="eastAsia"/>
                <w:sz w:val="18"/>
                <w:szCs w:val="18"/>
              </w:rPr>
              <w:t>の1/10以上1/5未満</w:t>
            </w:r>
          </w:p>
        </w:tc>
        <w:tc>
          <w:tcPr>
            <w:tcW w:w="1276" w:type="dxa"/>
            <w:vMerge w:val="restart"/>
          </w:tcPr>
          <w:p w:rsidR="007E47AC" w:rsidRPr="007E47AC" w:rsidRDefault="001A135D">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債務超過額の1/10未満</w:t>
            </w:r>
          </w:p>
        </w:tc>
        <w:tc>
          <w:tcPr>
            <w:tcW w:w="4849" w:type="dxa"/>
            <w:gridSpan w:val="5"/>
          </w:tcPr>
          <w:p w:rsidR="007E47AC"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経常赤字の損失補償付き債務額に対する割合</w:t>
            </w:r>
          </w:p>
        </w:tc>
      </w:tr>
      <w:tr w:rsidR="001A135D" w:rsidTr="005803BE">
        <w:tc>
          <w:tcPr>
            <w:tcW w:w="4489" w:type="dxa"/>
            <w:gridSpan w:val="3"/>
            <w:vMerge/>
            <w:tcBorders>
              <w:bottom w:val="single" w:sz="4" w:space="0" w:color="auto"/>
            </w:tcBorders>
          </w:tcPr>
          <w:p w:rsidR="001A135D" w:rsidRPr="007E47AC" w:rsidRDefault="001A135D">
            <w:pPr>
              <w:widowControl/>
              <w:jc w:val="left"/>
              <w:rPr>
                <w:rFonts w:asciiTheme="majorEastAsia" w:eastAsiaTheme="majorEastAsia" w:hAnsiTheme="majorEastAsia"/>
                <w:sz w:val="20"/>
                <w:szCs w:val="20"/>
              </w:rPr>
            </w:pPr>
          </w:p>
        </w:tc>
        <w:tc>
          <w:tcPr>
            <w:tcW w:w="1040" w:type="dxa"/>
            <w:vMerge/>
            <w:tcBorders>
              <w:bottom w:val="double" w:sz="4" w:space="0" w:color="auto"/>
            </w:tcBorders>
          </w:tcPr>
          <w:p w:rsidR="001A135D" w:rsidRPr="007E47AC" w:rsidRDefault="001A135D">
            <w:pPr>
              <w:widowControl/>
              <w:jc w:val="left"/>
              <w:rPr>
                <w:rFonts w:asciiTheme="majorEastAsia" w:eastAsiaTheme="majorEastAsia" w:hAnsiTheme="majorEastAsia"/>
                <w:sz w:val="18"/>
                <w:szCs w:val="18"/>
              </w:rPr>
            </w:pPr>
          </w:p>
        </w:tc>
        <w:tc>
          <w:tcPr>
            <w:tcW w:w="1134" w:type="dxa"/>
            <w:vMerge/>
            <w:tcBorders>
              <w:bottom w:val="double" w:sz="4" w:space="0" w:color="auto"/>
            </w:tcBorders>
          </w:tcPr>
          <w:p w:rsidR="001A135D" w:rsidRPr="007E47AC" w:rsidRDefault="001A135D">
            <w:pPr>
              <w:widowControl/>
              <w:jc w:val="left"/>
              <w:rPr>
                <w:rFonts w:asciiTheme="majorEastAsia" w:eastAsiaTheme="majorEastAsia" w:hAnsiTheme="majorEastAsia"/>
                <w:sz w:val="18"/>
                <w:szCs w:val="18"/>
              </w:rPr>
            </w:pPr>
          </w:p>
        </w:tc>
        <w:tc>
          <w:tcPr>
            <w:tcW w:w="1275" w:type="dxa"/>
            <w:vMerge/>
            <w:tcBorders>
              <w:bottom w:val="double" w:sz="4" w:space="0" w:color="auto"/>
            </w:tcBorders>
          </w:tcPr>
          <w:p w:rsidR="001A135D" w:rsidRPr="007E47AC" w:rsidRDefault="001A135D">
            <w:pPr>
              <w:widowControl/>
              <w:jc w:val="left"/>
              <w:rPr>
                <w:rFonts w:asciiTheme="majorEastAsia" w:eastAsiaTheme="majorEastAsia" w:hAnsiTheme="majorEastAsia"/>
                <w:sz w:val="18"/>
                <w:szCs w:val="18"/>
              </w:rPr>
            </w:pPr>
          </w:p>
        </w:tc>
        <w:tc>
          <w:tcPr>
            <w:tcW w:w="1276" w:type="dxa"/>
            <w:vMerge/>
            <w:tcBorders>
              <w:bottom w:val="double" w:sz="4" w:space="0" w:color="auto"/>
            </w:tcBorders>
          </w:tcPr>
          <w:p w:rsidR="001A135D" w:rsidRPr="007E47AC" w:rsidRDefault="001A135D">
            <w:pPr>
              <w:widowControl/>
              <w:jc w:val="left"/>
              <w:rPr>
                <w:rFonts w:asciiTheme="majorEastAsia" w:eastAsiaTheme="majorEastAsia" w:hAnsiTheme="majorEastAsia"/>
                <w:sz w:val="18"/>
                <w:szCs w:val="18"/>
              </w:rPr>
            </w:pPr>
          </w:p>
        </w:tc>
        <w:tc>
          <w:tcPr>
            <w:tcW w:w="992" w:type="dxa"/>
            <w:tcBorders>
              <w:bottom w:val="double" w:sz="4" w:space="0" w:color="auto"/>
            </w:tcBorders>
            <w:vAlign w:val="center"/>
          </w:tcPr>
          <w:p w:rsidR="001A135D"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1/20未満</w:t>
            </w:r>
          </w:p>
        </w:tc>
        <w:tc>
          <w:tcPr>
            <w:tcW w:w="993" w:type="dxa"/>
            <w:tcBorders>
              <w:bottom w:val="double" w:sz="4" w:space="0" w:color="auto"/>
            </w:tcBorders>
            <w:vAlign w:val="center"/>
          </w:tcPr>
          <w:p w:rsidR="001A135D"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1/20以上1/10未満</w:t>
            </w:r>
          </w:p>
        </w:tc>
        <w:tc>
          <w:tcPr>
            <w:tcW w:w="992" w:type="dxa"/>
            <w:tcBorders>
              <w:bottom w:val="double" w:sz="4" w:space="0" w:color="auto"/>
            </w:tcBorders>
            <w:vAlign w:val="center"/>
          </w:tcPr>
          <w:p w:rsidR="001A135D"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1/10以上1/2未満</w:t>
            </w:r>
          </w:p>
        </w:tc>
        <w:tc>
          <w:tcPr>
            <w:tcW w:w="992" w:type="dxa"/>
            <w:tcBorders>
              <w:bottom w:val="double" w:sz="4" w:space="0" w:color="auto"/>
            </w:tcBorders>
            <w:vAlign w:val="center"/>
          </w:tcPr>
          <w:p w:rsidR="001A135D"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1/5以上1/2未満</w:t>
            </w:r>
          </w:p>
        </w:tc>
        <w:tc>
          <w:tcPr>
            <w:tcW w:w="880" w:type="dxa"/>
            <w:tcBorders>
              <w:bottom w:val="double" w:sz="4" w:space="0" w:color="auto"/>
            </w:tcBorders>
            <w:vAlign w:val="center"/>
          </w:tcPr>
          <w:p w:rsidR="001A135D" w:rsidRPr="007E47AC" w:rsidRDefault="001A135D" w:rsidP="001A135D">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1/2以上</w:t>
            </w:r>
          </w:p>
        </w:tc>
      </w:tr>
      <w:tr w:rsidR="005803BE" w:rsidTr="005803BE">
        <w:trPr>
          <w:trHeight w:val="387"/>
        </w:trPr>
        <w:tc>
          <w:tcPr>
            <w:tcW w:w="425" w:type="dxa"/>
            <w:vMerge w:val="restart"/>
            <w:tcBorders>
              <w:top w:val="double" w:sz="4" w:space="0" w:color="auto"/>
            </w:tcBorders>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r w:rsidRPr="001A135D">
              <w:rPr>
                <w:rFonts w:asciiTheme="majorEastAsia" w:eastAsiaTheme="majorEastAsia" w:hAnsiTheme="majorEastAsia" w:hint="eastAsia"/>
                <w:sz w:val="18"/>
                <w:szCs w:val="18"/>
              </w:rPr>
              <w:t>貸借対照表上の純資産</w:t>
            </w:r>
          </w:p>
        </w:tc>
        <w:tc>
          <w:tcPr>
            <w:tcW w:w="426" w:type="dxa"/>
            <w:vMerge w:val="restart"/>
            <w:tcBorders>
              <w:top w:val="double" w:sz="4" w:space="0" w:color="auto"/>
            </w:tcBorders>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r w:rsidRPr="001A135D">
              <w:rPr>
                <w:rFonts w:asciiTheme="majorEastAsia" w:eastAsiaTheme="majorEastAsia" w:hAnsiTheme="majorEastAsia" w:hint="eastAsia"/>
                <w:sz w:val="18"/>
                <w:szCs w:val="18"/>
              </w:rPr>
              <w:t>資産超過</w:t>
            </w:r>
          </w:p>
        </w:tc>
        <w:tc>
          <w:tcPr>
            <w:tcW w:w="3638" w:type="dxa"/>
            <w:tcBorders>
              <w:top w:val="double" w:sz="4" w:space="0" w:color="auto"/>
            </w:tcBorders>
            <w:vAlign w:val="center"/>
          </w:tcPr>
          <w:p w:rsidR="005803BE" w:rsidRPr="001A135D" w:rsidRDefault="005803BE">
            <w:pPr>
              <w:widowControl/>
              <w:jc w:val="left"/>
              <w:rPr>
                <w:rFonts w:asciiTheme="majorEastAsia" w:eastAsiaTheme="majorEastAsia" w:hAnsiTheme="majorEastAsia"/>
                <w:sz w:val="18"/>
                <w:szCs w:val="18"/>
              </w:rPr>
            </w:pPr>
            <w:r w:rsidRPr="001A135D">
              <w:rPr>
                <w:rFonts w:asciiTheme="majorEastAsia" w:eastAsiaTheme="majorEastAsia" w:hAnsiTheme="majorEastAsia" w:hint="eastAsia"/>
                <w:sz w:val="18"/>
                <w:szCs w:val="18"/>
              </w:rPr>
              <w:t>10年以上において債務超過</w:t>
            </w:r>
          </w:p>
        </w:tc>
        <w:tc>
          <w:tcPr>
            <w:tcW w:w="4725" w:type="dxa"/>
            <w:gridSpan w:val="4"/>
            <w:vMerge w:val="restart"/>
            <w:tcBorders>
              <w:top w:val="double" w:sz="4" w:space="0" w:color="auto"/>
            </w:tcBorders>
            <w:vAlign w:val="center"/>
          </w:tcPr>
          <w:p w:rsidR="005803BE" w:rsidRPr="005803BE" w:rsidRDefault="005803BE" w:rsidP="005803BE">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A</w:t>
            </w:r>
          </w:p>
        </w:tc>
        <w:tc>
          <w:tcPr>
            <w:tcW w:w="4849" w:type="dxa"/>
            <w:gridSpan w:val="5"/>
            <w:tcBorders>
              <w:top w:val="double" w:sz="4" w:space="0" w:color="auto"/>
            </w:tcBorders>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A</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5年以上において資産超過であって10年後において債務超過</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4849" w:type="dxa"/>
            <w:gridSpan w:val="5"/>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rsidP="00CE0BC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5年後における債務超過額又は5年後における損失補償付債務額のいずれか少ない額が損失補償付債務額の1/4未満</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3"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880"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C</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rsidP="00CE0BC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5年後における債務超過額又は5年後における損失補償付債務額のいずれか少ない額が損失補償付債務額の1/4以上1/2未満</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3"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C</w:t>
            </w:r>
          </w:p>
        </w:tc>
        <w:tc>
          <w:tcPr>
            <w:tcW w:w="880"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D</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rsidP="00CE0BC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5年後における債務超過額又は5年後における損失補償付債務額のいずれか少ない額が損失補償付債務額の1/2以上3/4未満</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3"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C</w:t>
            </w:r>
          </w:p>
        </w:tc>
        <w:tc>
          <w:tcPr>
            <w:tcW w:w="880"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D</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rsidP="00CE0BC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5年後における債務超過額又は5年後における損失補償付債務額のいずれか少ない額が損失補償付債務額の3/4以上損失補償付債務額未満</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3"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C</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D</w:t>
            </w:r>
          </w:p>
        </w:tc>
        <w:tc>
          <w:tcPr>
            <w:tcW w:w="880"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E</w:t>
            </w:r>
          </w:p>
        </w:tc>
      </w:tr>
      <w:tr w:rsidR="005803BE" w:rsidTr="00CE0BC6">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p>
        </w:tc>
        <w:tc>
          <w:tcPr>
            <w:tcW w:w="3638" w:type="dxa"/>
          </w:tcPr>
          <w:p w:rsidR="005803BE" w:rsidRPr="001A135D" w:rsidRDefault="005803BE" w:rsidP="00CE0BC6">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5年後における債務超過額又は5年後における損失補償付債務額のいずれか少ない額が損失補償付債務額以上</w:t>
            </w:r>
          </w:p>
        </w:tc>
        <w:tc>
          <w:tcPr>
            <w:tcW w:w="4725" w:type="dxa"/>
            <w:gridSpan w:val="4"/>
            <w:vMerge/>
          </w:tcPr>
          <w:p w:rsidR="005803BE" w:rsidRPr="005803BE" w:rsidRDefault="005803BE">
            <w:pPr>
              <w:widowControl/>
              <w:jc w:val="left"/>
              <w:rPr>
                <w:rFonts w:asciiTheme="majorEastAsia" w:eastAsiaTheme="majorEastAsia" w:hAnsiTheme="majorEastAsia"/>
                <w:sz w:val="22"/>
              </w:rPr>
            </w:pP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3"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B</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C</w:t>
            </w:r>
          </w:p>
        </w:tc>
        <w:tc>
          <w:tcPr>
            <w:tcW w:w="992"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DD</w:t>
            </w:r>
          </w:p>
        </w:tc>
        <w:tc>
          <w:tcPr>
            <w:tcW w:w="880" w:type="dxa"/>
            <w:vAlign w:val="center"/>
          </w:tcPr>
          <w:p w:rsidR="005803BE" w:rsidRPr="005803BE" w:rsidRDefault="005803BE" w:rsidP="00CE0BC6">
            <w:pPr>
              <w:widowControl/>
              <w:jc w:val="center"/>
              <w:rPr>
                <w:rFonts w:asciiTheme="majorEastAsia" w:eastAsiaTheme="majorEastAsia" w:hAnsiTheme="majorEastAsia"/>
                <w:sz w:val="22"/>
              </w:rPr>
            </w:pPr>
            <w:r w:rsidRPr="005803BE">
              <w:rPr>
                <w:rFonts w:asciiTheme="majorEastAsia" w:eastAsiaTheme="majorEastAsia" w:hAnsiTheme="majorEastAsia" w:hint="eastAsia"/>
                <w:sz w:val="22"/>
              </w:rPr>
              <w:t>E</w:t>
            </w:r>
          </w:p>
        </w:tc>
      </w:tr>
      <w:tr w:rsidR="005803BE" w:rsidTr="001A135D">
        <w:tc>
          <w:tcPr>
            <w:tcW w:w="425" w:type="dxa"/>
            <w:vMerge/>
          </w:tcPr>
          <w:p w:rsidR="005803BE" w:rsidRPr="001A135D" w:rsidRDefault="005803BE">
            <w:pPr>
              <w:widowControl/>
              <w:jc w:val="left"/>
              <w:rPr>
                <w:rFonts w:asciiTheme="majorEastAsia" w:eastAsiaTheme="majorEastAsia" w:hAnsiTheme="majorEastAsia"/>
                <w:sz w:val="18"/>
                <w:szCs w:val="18"/>
              </w:rPr>
            </w:pPr>
          </w:p>
        </w:tc>
        <w:tc>
          <w:tcPr>
            <w:tcW w:w="426" w:type="dxa"/>
            <w:vMerge w:val="restart"/>
            <w:textDirection w:val="tbRlV"/>
          </w:tcPr>
          <w:p w:rsidR="005803BE" w:rsidRPr="001A135D" w:rsidRDefault="005803BE" w:rsidP="001A135D">
            <w:pPr>
              <w:widowControl/>
              <w:ind w:left="113" w:right="113"/>
              <w:jc w:val="center"/>
              <w:rPr>
                <w:rFonts w:asciiTheme="majorEastAsia" w:eastAsiaTheme="majorEastAsia" w:hAnsiTheme="majorEastAsia"/>
                <w:sz w:val="18"/>
                <w:szCs w:val="18"/>
              </w:rPr>
            </w:pPr>
            <w:r w:rsidRPr="001A135D">
              <w:rPr>
                <w:rFonts w:asciiTheme="majorEastAsia" w:eastAsiaTheme="majorEastAsia" w:hAnsiTheme="majorEastAsia" w:hint="eastAsia"/>
                <w:sz w:val="18"/>
                <w:szCs w:val="18"/>
              </w:rPr>
              <w:t>債務超過</w:t>
            </w:r>
          </w:p>
        </w:tc>
        <w:tc>
          <w:tcPr>
            <w:tcW w:w="3638" w:type="dxa"/>
            <w:vMerge w:val="restart"/>
          </w:tcPr>
          <w:p w:rsidR="005803BE" w:rsidRPr="001A135D" w:rsidRDefault="005803BE">
            <w:pPr>
              <w:widowControl/>
              <w:jc w:val="left"/>
              <w:rPr>
                <w:rFonts w:asciiTheme="majorEastAsia" w:eastAsiaTheme="majorEastAsia" w:hAnsiTheme="majorEastAsia"/>
                <w:sz w:val="18"/>
                <w:szCs w:val="18"/>
              </w:rPr>
            </w:pPr>
          </w:p>
        </w:tc>
        <w:tc>
          <w:tcPr>
            <w:tcW w:w="4725" w:type="dxa"/>
            <w:gridSpan w:val="4"/>
          </w:tcPr>
          <w:p w:rsidR="005803BE" w:rsidRPr="007E47AC" w:rsidRDefault="005803BE" w:rsidP="00CE0BC6">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経常黒字の債務超過額に対する割合</w:t>
            </w:r>
          </w:p>
        </w:tc>
        <w:tc>
          <w:tcPr>
            <w:tcW w:w="4849" w:type="dxa"/>
            <w:gridSpan w:val="5"/>
          </w:tcPr>
          <w:p w:rsidR="005803BE" w:rsidRPr="007E47AC" w:rsidRDefault="005803BE" w:rsidP="00CE0BC6">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経常赤字の損失補償付債務額に対する割合</w:t>
            </w:r>
          </w:p>
        </w:tc>
      </w:tr>
      <w:tr w:rsidR="005803BE" w:rsidTr="005803BE">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vMerge/>
            <w:tcBorders>
              <w:bottom w:val="double" w:sz="4" w:space="0" w:color="auto"/>
            </w:tcBorders>
          </w:tcPr>
          <w:p w:rsidR="005803BE" w:rsidRPr="001A135D" w:rsidRDefault="005803BE">
            <w:pPr>
              <w:widowControl/>
              <w:jc w:val="left"/>
              <w:rPr>
                <w:rFonts w:asciiTheme="majorEastAsia" w:eastAsiaTheme="majorEastAsia" w:hAnsiTheme="majorEastAsia"/>
                <w:sz w:val="18"/>
                <w:szCs w:val="18"/>
              </w:rPr>
            </w:pPr>
          </w:p>
        </w:tc>
        <w:tc>
          <w:tcPr>
            <w:tcW w:w="1040" w:type="dxa"/>
            <w:tcBorders>
              <w:bottom w:val="double" w:sz="4" w:space="0" w:color="auto"/>
            </w:tcBorders>
          </w:tcPr>
          <w:p w:rsidR="005803BE" w:rsidRPr="007E47AC" w:rsidRDefault="005803BE" w:rsidP="001A6D64">
            <w:pPr>
              <w:widowControl/>
              <w:jc w:val="left"/>
              <w:rPr>
                <w:rFonts w:asciiTheme="majorEastAsia" w:eastAsiaTheme="majorEastAsia" w:hAnsiTheme="majorEastAsia"/>
                <w:sz w:val="18"/>
                <w:szCs w:val="18"/>
              </w:rPr>
            </w:pPr>
            <w:r w:rsidRPr="007E47AC">
              <w:rPr>
                <w:rFonts w:asciiTheme="majorEastAsia" w:eastAsiaTheme="majorEastAsia" w:hAnsiTheme="majorEastAsia" w:hint="eastAsia"/>
                <w:sz w:val="18"/>
                <w:szCs w:val="18"/>
              </w:rPr>
              <w:t>債務超過額の1/3以上</w:t>
            </w:r>
          </w:p>
        </w:tc>
        <w:tc>
          <w:tcPr>
            <w:tcW w:w="1134" w:type="dxa"/>
            <w:tcBorders>
              <w:bottom w:val="double" w:sz="4" w:space="0" w:color="auto"/>
            </w:tcBorders>
          </w:tcPr>
          <w:p w:rsidR="005803BE" w:rsidRPr="007E47AC" w:rsidRDefault="005803BE" w:rsidP="001A6D64">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債務超過額の1/5以上1/3未満</w:t>
            </w:r>
          </w:p>
        </w:tc>
        <w:tc>
          <w:tcPr>
            <w:tcW w:w="1275" w:type="dxa"/>
            <w:tcBorders>
              <w:bottom w:val="double" w:sz="4" w:space="0" w:color="auto"/>
            </w:tcBorders>
          </w:tcPr>
          <w:p w:rsidR="005803BE" w:rsidRPr="007E47AC" w:rsidRDefault="005803BE" w:rsidP="001A6D64">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債務超過額の1/10以上1/5未満</w:t>
            </w:r>
          </w:p>
        </w:tc>
        <w:tc>
          <w:tcPr>
            <w:tcW w:w="1276" w:type="dxa"/>
            <w:tcBorders>
              <w:bottom w:val="double" w:sz="4" w:space="0" w:color="auto"/>
            </w:tcBorders>
          </w:tcPr>
          <w:p w:rsidR="005803BE" w:rsidRPr="007E47AC" w:rsidRDefault="005803BE" w:rsidP="001A6D64">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債務超過額の1/10未満</w:t>
            </w:r>
          </w:p>
        </w:tc>
        <w:tc>
          <w:tcPr>
            <w:tcW w:w="992" w:type="dxa"/>
            <w:tcBorders>
              <w:bottom w:val="double" w:sz="4" w:space="0" w:color="auto"/>
            </w:tcBorders>
            <w:vAlign w:val="center"/>
          </w:tcPr>
          <w:p w:rsidR="005803BE" w:rsidRPr="007E47AC" w:rsidRDefault="005803BE" w:rsidP="001A6D64">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1/20未満</w:t>
            </w:r>
          </w:p>
        </w:tc>
        <w:tc>
          <w:tcPr>
            <w:tcW w:w="993" w:type="dxa"/>
            <w:tcBorders>
              <w:bottom w:val="double" w:sz="4" w:space="0" w:color="auto"/>
            </w:tcBorders>
            <w:vAlign w:val="center"/>
          </w:tcPr>
          <w:p w:rsidR="005803BE" w:rsidRPr="007E47AC" w:rsidRDefault="005803BE" w:rsidP="001A6D64">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1/20以上1/10未満</w:t>
            </w:r>
          </w:p>
        </w:tc>
        <w:tc>
          <w:tcPr>
            <w:tcW w:w="992" w:type="dxa"/>
            <w:tcBorders>
              <w:bottom w:val="double" w:sz="4" w:space="0" w:color="auto"/>
            </w:tcBorders>
            <w:vAlign w:val="center"/>
          </w:tcPr>
          <w:p w:rsidR="005803BE" w:rsidRPr="007E47AC" w:rsidRDefault="005803BE" w:rsidP="001A6D64">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1/10以上1/2未満</w:t>
            </w:r>
          </w:p>
        </w:tc>
        <w:tc>
          <w:tcPr>
            <w:tcW w:w="992" w:type="dxa"/>
            <w:tcBorders>
              <w:bottom w:val="double" w:sz="4" w:space="0" w:color="auto"/>
            </w:tcBorders>
            <w:vAlign w:val="center"/>
          </w:tcPr>
          <w:p w:rsidR="005803BE" w:rsidRPr="007E47AC" w:rsidRDefault="005803BE" w:rsidP="001A6D64">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1/5以上1/2未満</w:t>
            </w:r>
          </w:p>
        </w:tc>
        <w:tc>
          <w:tcPr>
            <w:tcW w:w="880" w:type="dxa"/>
            <w:tcBorders>
              <w:bottom w:val="double" w:sz="4" w:space="0" w:color="auto"/>
            </w:tcBorders>
            <w:vAlign w:val="center"/>
          </w:tcPr>
          <w:p w:rsidR="005803BE" w:rsidRPr="007E47AC" w:rsidRDefault="005803BE" w:rsidP="001A6D64">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1/2以上</w:t>
            </w:r>
          </w:p>
        </w:tc>
      </w:tr>
      <w:tr w:rsidR="005803BE" w:rsidTr="005803BE">
        <w:trPr>
          <w:trHeight w:val="383"/>
        </w:trPr>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tcBorders>
              <w:top w:val="double" w:sz="4" w:space="0" w:color="auto"/>
            </w:tcBorders>
            <w:vAlign w:val="center"/>
          </w:tcPr>
          <w:p w:rsidR="005803BE" w:rsidRPr="001A135D" w:rsidRDefault="005803BE">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債務超過額が損失補償付債務額の1/4未満</w:t>
            </w:r>
          </w:p>
        </w:tc>
        <w:tc>
          <w:tcPr>
            <w:tcW w:w="1040" w:type="dxa"/>
            <w:tcBorders>
              <w:top w:val="double" w:sz="4" w:space="0" w:color="auto"/>
            </w:tcBorders>
          </w:tcPr>
          <w:p w:rsidR="005803BE" w:rsidRPr="001072C1" w:rsidRDefault="005803BE" w:rsidP="005803BE">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134" w:type="dxa"/>
            <w:tcBorders>
              <w:top w:val="double" w:sz="4" w:space="0" w:color="auto"/>
            </w:tcBorders>
          </w:tcPr>
          <w:p w:rsidR="005803BE" w:rsidRPr="001072C1" w:rsidRDefault="005803BE" w:rsidP="005803BE">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5" w:type="dxa"/>
            <w:tcBorders>
              <w:top w:val="double" w:sz="4" w:space="0" w:color="auto"/>
            </w:tcBorders>
          </w:tcPr>
          <w:p w:rsidR="005803BE" w:rsidRPr="001072C1" w:rsidRDefault="005803BE" w:rsidP="005803BE">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6" w:type="dxa"/>
            <w:tcBorders>
              <w:top w:val="double" w:sz="4" w:space="0" w:color="auto"/>
            </w:tcBorders>
          </w:tcPr>
          <w:p w:rsidR="005803BE" w:rsidRPr="001072C1" w:rsidRDefault="005803BE" w:rsidP="005803BE">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992" w:type="dxa"/>
            <w:tcBorders>
              <w:top w:val="double" w:sz="4" w:space="0" w:color="auto"/>
            </w:tcBorders>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993" w:type="dxa"/>
            <w:tcBorders>
              <w:top w:val="double" w:sz="4" w:space="0" w:color="auto"/>
            </w:tcBorders>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C</w:t>
            </w:r>
          </w:p>
        </w:tc>
        <w:tc>
          <w:tcPr>
            <w:tcW w:w="992" w:type="dxa"/>
            <w:tcBorders>
              <w:top w:val="double" w:sz="4" w:space="0" w:color="auto"/>
            </w:tcBorders>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D</w:t>
            </w:r>
          </w:p>
        </w:tc>
        <w:tc>
          <w:tcPr>
            <w:tcW w:w="992" w:type="dxa"/>
            <w:tcBorders>
              <w:top w:val="double" w:sz="4" w:space="0" w:color="auto"/>
            </w:tcBorders>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880" w:type="dxa"/>
            <w:tcBorders>
              <w:top w:val="double" w:sz="4" w:space="0" w:color="auto"/>
            </w:tcBorders>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r>
      <w:tr w:rsidR="005803BE" w:rsidTr="005803BE">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tcPr>
          <w:p w:rsidR="005803BE" w:rsidRPr="001A135D" w:rsidRDefault="005803BE" w:rsidP="001A6D64">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債務超過額が損失補償付債務額の1/4以上1/2未満</w:t>
            </w:r>
          </w:p>
        </w:tc>
        <w:tc>
          <w:tcPr>
            <w:tcW w:w="104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134"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5"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6"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992" w:type="dxa"/>
            <w:vAlign w:val="center"/>
          </w:tcPr>
          <w:p w:rsidR="005803BE" w:rsidRPr="001072C1" w:rsidRDefault="001072C1"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C</w:t>
            </w:r>
          </w:p>
        </w:tc>
        <w:tc>
          <w:tcPr>
            <w:tcW w:w="993"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D</w:t>
            </w:r>
          </w:p>
        </w:tc>
        <w:tc>
          <w:tcPr>
            <w:tcW w:w="992"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992"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88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r>
      <w:tr w:rsidR="005803BE" w:rsidTr="005803BE">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tcPr>
          <w:p w:rsidR="005803BE" w:rsidRPr="001A135D" w:rsidRDefault="005803BE" w:rsidP="005803BE">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債務超過額が損失補償付債務額の1/2以上3/4未満</w:t>
            </w:r>
          </w:p>
        </w:tc>
        <w:tc>
          <w:tcPr>
            <w:tcW w:w="104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134"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5"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6"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C</w:t>
            </w:r>
          </w:p>
        </w:tc>
        <w:tc>
          <w:tcPr>
            <w:tcW w:w="992" w:type="dxa"/>
            <w:vAlign w:val="center"/>
          </w:tcPr>
          <w:p w:rsidR="005803BE" w:rsidRPr="001072C1" w:rsidRDefault="001072C1"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D</w:t>
            </w:r>
          </w:p>
        </w:tc>
        <w:tc>
          <w:tcPr>
            <w:tcW w:w="993"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992"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992"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88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r>
      <w:tr w:rsidR="005803BE" w:rsidTr="005803BE">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tcPr>
          <w:p w:rsidR="005803BE" w:rsidRPr="001A135D" w:rsidRDefault="005803BE" w:rsidP="005803BE">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債務超過額が損失補償付債務額の3/4以上損失補償付債務額未満</w:t>
            </w:r>
          </w:p>
        </w:tc>
        <w:tc>
          <w:tcPr>
            <w:tcW w:w="104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134"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275"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C</w:t>
            </w:r>
          </w:p>
        </w:tc>
        <w:tc>
          <w:tcPr>
            <w:tcW w:w="1276"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D</w:t>
            </w:r>
          </w:p>
        </w:tc>
        <w:tc>
          <w:tcPr>
            <w:tcW w:w="4849" w:type="dxa"/>
            <w:gridSpan w:val="5"/>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r>
      <w:tr w:rsidR="005803BE" w:rsidTr="005803BE">
        <w:trPr>
          <w:trHeight w:val="399"/>
        </w:trPr>
        <w:tc>
          <w:tcPr>
            <w:tcW w:w="425" w:type="dxa"/>
            <w:vMerge/>
          </w:tcPr>
          <w:p w:rsidR="005803BE" w:rsidRPr="007E47AC" w:rsidRDefault="005803BE">
            <w:pPr>
              <w:widowControl/>
              <w:jc w:val="left"/>
              <w:rPr>
                <w:rFonts w:asciiTheme="majorEastAsia" w:eastAsiaTheme="majorEastAsia" w:hAnsiTheme="majorEastAsia"/>
                <w:sz w:val="20"/>
                <w:szCs w:val="20"/>
              </w:rPr>
            </w:pPr>
          </w:p>
        </w:tc>
        <w:tc>
          <w:tcPr>
            <w:tcW w:w="426" w:type="dxa"/>
            <w:vMerge/>
          </w:tcPr>
          <w:p w:rsidR="005803BE" w:rsidRPr="007E47AC" w:rsidRDefault="005803BE">
            <w:pPr>
              <w:widowControl/>
              <w:jc w:val="left"/>
              <w:rPr>
                <w:rFonts w:asciiTheme="majorEastAsia" w:eastAsiaTheme="majorEastAsia" w:hAnsiTheme="majorEastAsia"/>
                <w:sz w:val="20"/>
                <w:szCs w:val="20"/>
              </w:rPr>
            </w:pPr>
          </w:p>
        </w:tc>
        <w:tc>
          <w:tcPr>
            <w:tcW w:w="3638" w:type="dxa"/>
            <w:vAlign w:val="center"/>
          </w:tcPr>
          <w:p w:rsidR="005803BE" w:rsidRDefault="005803BE" w:rsidP="001A6D64">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債務超過額が損失補償付債務額以上</w:t>
            </w:r>
          </w:p>
        </w:tc>
        <w:tc>
          <w:tcPr>
            <w:tcW w:w="1040"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B</w:t>
            </w:r>
          </w:p>
        </w:tc>
        <w:tc>
          <w:tcPr>
            <w:tcW w:w="1134"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C</w:t>
            </w:r>
          </w:p>
        </w:tc>
        <w:tc>
          <w:tcPr>
            <w:tcW w:w="1275"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D</w:t>
            </w:r>
          </w:p>
        </w:tc>
        <w:tc>
          <w:tcPr>
            <w:tcW w:w="1276" w:type="dxa"/>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c>
          <w:tcPr>
            <w:tcW w:w="4849" w:type="dxa"/>
            <w:gridSpan w:val="5"/>
            <w:vAlign w:val="center"/>
          </w:tcPr>
          <w:p w:rsidR="005803BE" w:rsidRPr="001072C1" w:rsidRDefault="005803BE" w:rsidP="00CE0BC6">
            <w:pPr>
              <w:widowControl/>
              <w:jc w:val="center"/>
              <w:rPr>
                <w:rFonts w:asciiTheme="majorEastAsia" w:eastAsiaTheme="majorEastAsia" w:hAnsiTheme="majorEastAsia"/>
                <w:sz w:val="22"/>
              </w:rPr>
            </w:pPr>
            <w:r w:rsidRPr="001072C1">
              <w:rPr>
                <w:rFonts w:asciiTheme="majorEastAsia" w:eastAsiaTheme="majorEastAsia" w:hAnsiTheme="majorEastAsia" w:hint="eastAsia"/>
                <w:sz w:val="22"/>
              </w:rPr>
              <w:t>E</w:t>
            </w:r>
          </w:p>
        </w:tc>
      </w:tr>
    </w:tbl>
    <w:p w:rsidR="00C545C1" w:rsidRDefault="006265F9" w:rsidP="006265F9">
      <w:pPr>
        <w:jc w:val="left"/>
        <w:rPr>
          <w:rFonts w:asciiTheme="majorEastAsia" w:eastAsiaTheme="majorEastAsia" w:hAnsiTheme="majorEastAsia"/>
          <w:szCs w:val="21"/>
        </w:rPr>
      </w:pPr>
      <w:r w:rsidRPr="006265F9">
        <w:rPr>
          <w:rFonts w:asciiTheme="majorEastAsia" w:eastAsiaTheme="majorEastAsia" w:hAnsiTheme="majorEastAsia" w:hint="eastAsia"/>
          <w:szCs w:val="21"/>
        </w:rPr>
        <w:t>★A、B、C、D及びEとは</w:t>
      </w:r>
      <w:r>
        <w:rPr>
          <w:rFonts w:asciiTheme="majorEastAsia" w:eastAsiaTheme="majorEastAsia" w:hAnsiTheme="majorEastAsia" w:hint="eastAsia"/>
          <w:sz w:val="24"/>
          <w:szCs w:val="24"/>
        </w:rPr>
        <w:t>、債務区分の</w:t>
      </w:r>
      <w:r w:rsidRPr="006265F9">
        <w:rPr>
          <w:rFonts w:asciiTheme="majorEastAsia" w:eastAsiaTheme="majorEastAsia" w:hAnsiTheme="majorEastAsia" w:hint="eastAsia"/>
          <w:szCs w:val="21"/>
        </w:rPr>
        <w:t>A、B、C、D及びE</w:t>
      </w:r>
      <w:r>
        <w:rPr>
          <w:rFonts w:asciiTheme="majorEastAsia" w:eastAsiaTheme="majorEastAsia" w:hAnsiTheme="majorEastAsia" w:hint="eastAsia"/>
          <w:szCs w:val="21"/>
        </w:rPr>
        <w:t>のことをいう。</w:t>
      </w:r>
    </w:p>
    <w:p w:rsidR="006265F9" w:rsidRDefault="006265F9" w:rsidP="006265F9">
      <w:pPr>
        <w:jc w:val="left"/>
        <w:rPr>
          <w:rFonts w:asciiTheme="majorEastAsia" w:eastAsiaTheme="majorEastAsia" w:hAnsiTheme="majorEastAsia"/>
          <w:szCs w:val="21"/>
        </w:rPr>
      </w:pPr>
      <w:r>
        <w:rPr>
          <w:rFonts w:asciiTheme="majorEastAsia" w:eastAsiaTheme="majorEastAsia" w:hAnsiTheme="majorEastAsia" w:hint="eastAsia"/>
          <w:szCs w:val="21"/>
        </w:rPr>
        <w:t xml:space="preserve">　資産超過とは、資産の額が負債の額を超える場合において当該額をいい、損失補償付債務額とは、損失補償付債務の額をいう。</w:t>
      </w:r>
    </w:p>
    <w:p w:rsidR="006265F9" w:rsidRPr="007E47AC" w:rsidRDefault="006265F9" w:rsidP="006265F9">
      <w:pPr>
        <w:jc w:val="left"/>
        <w:rPr>
          <w:rFonts w:asciiTheme="majorEastAsia" w:eastAsiaTheme="majorEastAsia" w:hAnsiTheme="majorEastAsia"/>
          <w:sz w:val="24"/>
          <w:szCs w:val="24"/>
        </w:rPr>
        <w:sectPr w:rsidR="006265F9" w:rsidRPr="007E47AC" w:rsidSect="00C751E3">
          <w:pgSz w:w="16838" w:h="11906" w:orient="landscape" w:code="9"/>
          <w:pgMar w:top="851" w:right="1985" w:bottom="426" w:left="1701" w:header="851" w:footer="203" w:gutter="0"/>
          <w:cols w:space="425"/>
          <w:docGrid w:linePitch="360"/>
        </w:sectPr>
      </w:pPr>
    </w:p>
    <w:p w:rsidR="00D11721" w:rsidRDefault="00D11721" w:rsidP="00D11721">
      <w:pPr>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lastRenderedPageBreak/>
        <w:t>６　第三セクターの活用</w:t>
      </w:r>
    </w:p>
    <w:p w:rsidR="00466E04" w:rsidRDefault="001C39D8" w:rsidP="009A27EC">
      <w:pPr>
        <w:ind w:leftChars="67" w:left="141"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人口減少・少子高齢化、インフラの老朽化、</w:t>
      </w:r>
      <w:r w:rsidR="00627B12">
        <w:rPr>
          <w:rFonts w:asciiTheme="majorEastAsia" w:eastAsiaTheme="majorEastAsia" w:hAnsiTheme="majorEastAsia" w:hint="eastAsia"/>
          <w:sz w:val="22"/>
        </w:rPr>
        <w:t>国</w:t>
      </w:r>
      <w:r>
        <w:rPr>
          <w:rFonts w:asciiTheme="majorEastAsia" w:eastAsiaTheme="majorEastAsia" w:hAnsiTheme="majorEastAsia" w:hint="eastAsia"/>
          <w:sz w:val="22"/>
        </w:rPr>
        <w:t>・県を通じた厳しい財政状況をはじめとする近年の社会経済情勢においては、単独の地方公共団体が自ら直接に事務事業</w:t>
      </w:r>
      <w:r w:rsidR="0054082A">
        <w:rPr>
          <w:rFonts w:asciiTheme="majorEastAsia" w:eastAsiaTheme="majorEastAsia" w:hAnsiTheme="majorEastAsia" w:hint="eastAsia"/>
          <w:sz w:val="22"/>
        </w:rPr>
        <w:t>を</w:t>
      </w:r>
      <w:r>
        <w:rPr>
          <w:rFonts w:asciiTheme="majorEastAsia" w:eastAsiaTheme="majorEastAsia" w:hAnsiTheme="majorEastAsia" w:hint="eastAsia"/>
          <w:sz w:val="22"/>
        </w:rPr>
        <w:t>執行する手法のみによっては、地域住民が必要とする住民サービスの提供、施策の</w:t>
      </w:r>
      <w:r w:rsidR="009A27EC">
        <w:rPr>
          <w:rFonts w:asciiTheme="majorEastAsia" w:eastAsiaTheme="majorEastAsia" w:hAnsiTheme="majorEastAsia" w:hint="eastAsia"/>
          <w:sz w:val="22"/>
        </w:rPr>
        <w:t>展開等が困難となってきています。民間企業の立地が期待できない地域における産業の振興や雇用の確保等が強く期待されるとともに、行政が担うべき分野全般においても、より効率的な業務の執行が求められています。</w:t>
      </w:r>
    </w:p>
    <w:p w:rsidR="009A27EC" w:rsidRDefault="009A27EC" w:rsidP="009A27EC">
      <w:pPr>
        <w:ind w:leftChars="67" w:left="141"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公共性と企業性を併せ持つ第三セクターは、これらの課題を克服していく上で、有効な手法となる場合があります。本指針において、これまでの事項を十分に留意しながら、第三セクターが有する以下の長所を踏まえて、有効に活用していくこととします。</w:t>
      </w:r>
    </w:p>
    <w:p w:rsidR="009A27EC" w:rsidRPr="001C39D8" w:rsidRDefault="009A27EC" w:rsidP="001C39D8">
      <w:pPr>
        <w:ind w:leftChars="135" w:left="283" w:firstLineChars="65" w:firstLine="143"/>
        <w:jc w:val="left"/>
        <w:rPr>
          <w:rFonts w:asciiTheme="majorEastAsia" w:eastAsiaTheme="majorEastAsia" w:hAnsiTheme="majorEastAsia"/>
          <w:sz w:val="22"/>
        </w:rPr>
      </w:pPr>
    </w:p>
    <w:p w:rsidR="00D11721" w:rsidRDefault="00D11721" w:rsidP="00D11721">
      <w:pPr>
        <w:pStyle w:val="a5"/>
        <w:numPr>
          <w:ilvl w:val="0"/>
          <w:numId w:val="11"/>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民間企業の立地が期待できない地域における事業実施</w:t>
      </w:r>
    </w:p>
    <w:p w:rsidR="009A27EC" w:rsidRDefault="009A27EC" w:rsidP="009A27EC">
      <w:pPr>
        <w:ind w:leftChars="270" w:left="567" w:firstLineChars="128" w:firstLine="282"/>
        <w:jc w:val="left"/>
        <w:rPr>
          <w:rFonts w:asciiTheme="majorEastAsia" w:eastAsiaTheme="majorEastAsia" w:hAnsiTheme="majorEastAsia"/>
          <w:sz w:val="22"/>
        </w:rPr>
      </w:pPr>
      <w:r>
        <w:rPr>
          <w:rFonts w:asciiTheme="majorEastAsia" w:eastAsiaTheme="majorEastAsia" w:hAnsiTheme="majorEastAsia" w:hint="eastAsia"/>
          <w:sz w:val="22"/>
        </w:rPr>
        <w:t>民間企業の立地が期待できない本町においては、第三セクターは産業振興、地域活性化等に取り組むための有効な手法となる場合があります。</w:t>
      </w:r>
    </w:p>
    <w:p w:rsidR="009A27EC" w:rsidRDefault="009A27EC" w:rsidP="009A27EC">
      <w:pPr>
        <w:ind w:leftChars="270" w:left="567" w:firstLineChars="128" w:firstLine="282"/>
        <w:jc w:val="left"/>
        <w:rPr>
          <w:rFonts w:asciiTheme="majorEastAsia" w:eastAsiaTheme="majorEastAsia" w:hAnsiTheme="majorEastAsia"/>
          <w:sz w:val="22"/>
        </w:rPr>
      </w:pPr>
      <w:r>
        <w:rPr>
          <w:rFonts w:asciiTheme="majorEastAsia" w:eastAsiaTheme="majorEastAsia" w:hAnsiTheme="majorEastAsia" w:hint="eastAsia"/>
          <w:sz w:val="22"/>
        </w:rPr>
        <w:t>民間の資金や</w:t>
      </w:r>
      <w:r w:rsidR="00627B12">
        <w:rPr>
          <w:rFonts w:asciiTheme="majorEastAsia" w:eastAsiaTheme="majorEastAsia" w:hAnsiTheme="majorEastAsia" w:hint="eastAsia"/>
          <w:sz w:val="22"/>
        </w:rPr>
        <w:t>ノウハウ</w:t>
      </w:r>
      <w:r>
        <w:rPr>
          <w:rFonts w:asciiTheme="majorEastAsia" w:eastAsiaTheme="majorEastAsia" w:hAnsiTheme="majorEastAsia" w:hint="eastAsia"/>
          <w:sz w:val="22"/>
        </w:rPr>
        <w:t>を適切に活用し、地域の特産品の製造・販売・観光施設等の経営、地域おこしに関するイベントの企画等に取り組むことが考えられ、また、収益を住民サービスに還元することも可能です。</w:t>
      </w:r>
    </w:p>
    <w:p w:rsidR="009A27EC" w:rsidRDefault="009A27EC" w:rsidP="009A27EC">
      <w:pPr>
        <w:ind w:leftChars="270" w:left="567" w:firstLineChars="128" w:firstLine="282"/>
        <w:jc w:val="left"/>
        <w:rPr>
          <w:rFonts w:asciiTheme="majorEastAsia" w:eastAsiaTheme="majorEastAsia" w:hAnsiTheme="majorEastAsia"/>
          <w:sz w:val="22"/>
        </w:rPr>
      </w:pPr>
      <w:r>
        <w:rPr>
          <w:rFonts w:asciiTheme="majorEastAsia" w:eastAsiaTheme="majorEastAsia" w:hAnsiTheme="majorEastAsia" w:hint="eastAsia"/>
          <w:sz w:val="22"/>
        </w:rPr>
        <w:t>初期投資（イニシャルコスト）等は、町が負担しながらも、第三セクターが経営安定により町の関与・支援が必要としなくなった場合には、町との関係を解消（町出資の</w:t>
      </w:r>
      <w:r w:rsidR="0054082A">
        <w:rPr>
          <w:rFonts w:asciiTheme="majorEastAsia" w:eastAsiaTheme="majorEastAsia" w:hAnsiTheme="majorEastAsia" w:hint="eastAsia"/>
          <w:sz w:val="22"/>
        </w:rPr>
        <w:t>返還</w:t>
      </w:r>
      <w:r>
        <w:rPr>
          <w:rFonts w:asciiTheme="majorEastAsia" w:eastAsiaTheme="majorEastAsia" w:hAnsiTheme="majorEastAsia" w:hint="eastAsia"/>
          <w:sz w:val="22"/>
        </w:rPr>
        <w:t>、保有株式の買い取り等）するなど、第三セクターという手法を法人が自立的な運営</w:t>
      </w:r>
      <w:r w:rsidR="0054082A">
        <w:rPr>
          <w:rFonts w:asciiTheme="majorEastAsia" w:eastAsiaTheme="majorEastAsia" w:hAnsiTheme="majorEastAsia" w:hint="eastAsia"/>
          <w:sz w:val="22"/>
        </w:rPr>
        <w:t>が可能</w:t>
      </w:r>
      <w:r>
        <w:rPr>
          <w:rFonts w:asciiTheme="majorEastAsia" w:eastAsiaTheme="majorEastAsia" w:hAnsiTheme="majorEastAsia" w:hint="eastAsia"/>
          <w:sz w:val="22"/>
        </w:rPr>
        <w:t>となるまでの過渡的な事業手法として取り扱うことも考えられます。</w:t>
      </w:r>
    </w:p>
    <w:p w:rsidR="009A27EC" w:rsidRPr="00466E04" w:rsidRDefault="009A27EC" w:rsidP="009A27EC">
      <w:pPr>
        <w:ind w:leftChars="405" w:left="850"/>
        <w:jc w:val="left"/>
        <w:rPr>
          <w:rFonts w:asciiTheme="majorEastAsia" w:eastAsiaTheme="majorEastAsia" w:hAnsiTheme="majorEastAsia"/>
          <w:sz w:val="22"/>
        </w:rPr>
      </w:pPr>
    </w:p>
    <w:p w:rsidR="00D11721" w:rsidRPr="00D11721" w:rsidRDefault="00D11721" w:rsidP="00D11721">
      <w:pPr>
        <w:pStyle w:val="a5"/>
        <w:numPr>
          <w:ilvl w:val="0"/>
          <w:numId w:val="11"/>
        </w:numPr>
        <w:ind w:leftChars="0"/>
        <w:jc w:val="left"/>
        <w:rPr>
          <w:rFonts w:asciiTheme="majorEastAsia" w:eastAsiaTheme="majorEastAsia" w:hAnsiTheme="majorEastAsia"/>
          <w:sz w:val="24"/>
          <w:szCs w:val="24"/>
        </w:rPr>
      </w:pPr>
      <w:r w:rsidRPr="00D11721">
        <w:rPr>
          <w:rFonts w:asciiTheme="majorEastAsia" w:eastAsiaTheme="majorEastAsia" w:hAnsiTheme="majorEastAsia" w:hint="eastAsia"/>
          <w:sz w:val="24"/>
          <w:szCs w:val="24"/>
        </w:rPr>
        <w:t>公共性、公益性が高い事業の効率的な実施</w:t>
      </w:r>
    </w:p>
    <w:p w:rsidR="00D11721" w:rsidRDefault="009A27EC" w:rsidP="009A27EC">
      <w:pPr>
        <w:widowControl/>
        <w:ind w:leftChars="27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まちづくり、福祉、インフラの提供、地域活性化等の事業について、第三セクターが民間企業と同様の機動的、効率的な経営手法で行政の補完・代行機能を果たすことにより、</w:t>
      </w:r>
      <w:r w:rsidR="00767C19">
        <w:rPr>
          <w:rFonts w:asciiTheme="majorEastAsia" w:eastAsiaTheme="majorEastAsia" w:hAnsiTheme="majorEastAsia" w:hint="eastAsia"/>
          <w:sz w:val="22"/>
        </w:rPr>
        <w:t>地方公共団体が直接実施するよりも効率的に、或いはユニークな形で行うことが可能となる場合があります。</w:t>
      </w:r>
    </w:p>
    <w:p w:rsidR="00767C19" w:rsidRDefault="00767C19" w:rsidP="009A27EC">
      <w:pPr>
        <w:widowControl/>
        <w:ind w:leftChars="27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特に、公共施設、インフラ等の維持・管理、運営等については、地方公共団体が直接実施するよりも、第三セクターが事業を行うことにより、効率化が図られ、新たな価値が生み出される事例が全国で見受けられるところです。現在、全国において、多くの第三セクターがPFI事業における選定事業者（民間資金等の活用による公共施設等の整備等に関する法律（平成１１年法律第１１７号）第</w:t>
      </w:r>
      <w:r w:rsidR="0054082A">
        <w:rPr>
          <w:rFonts w:asciiTheme="majorEastAsia" w:eastAsiaTheme="majorEastAsia" w:hAnsiTheme="majorEastAsia" w:hint="eastAsia"/>
          <w:sz w:val="22"/>
        </w:rPr>
        <w:t>２</w:t>
      </w:r>
      <w:r>
        <w:rPr>
          <w:rFonts w:asciiTheme="majorEastAsia" w:eastAsiaTheme="majorEastAsia" w:hAnsiTheme="majorEastAsia" w:hint="eastAsia"/>
          <w:sz w:val="22"/>
        </w:rPr>
        <w:t>条第５項）や指定管理者（地方自治法第２４４条の２第３項）として、地域において一定の役割を果たしています。</w:t>
      </w:r>
    </w:p>
    <w:p w:rsidR="00767C19" w:rsidRPr="009A27EC" w:rsidRDefault="00767C19" w:rsidP="009A27EC">
      <w:pPr>
        <w:widowControl/>
        <w:ind w:leftChars="270" w:left="567" w:firstLineChars="129" w:firstLine="284"/>
        <w:jc w:val="left"/>
        <w:rPr>
          <w:rFonts w:asciiTheme="majorEastAsia" w:eastAsiaTheme="majorEastAsia" w:hAnsiTheme="majorEastAsia"/>
          <w:sz w:val="22"/>
        </w:rPr>
      </w:pPr>
      <w:r>
        <w:rPr>
          <w:rFonts w:asciiTheme="majorEastAsia" w:eastAsiaTheme="majorEastAsia" w:hAnsiTheme="majorEastAsia" w:hint="eastAsia"/>
          <w:sz w:val="22"/>
        </w:rPr>
        <w:t>また、これらの事業について、民間企業を事業実施主体とするのでは、公共性、公益性の担保について、議会・住民等の理解や支持が得られにくいことがあり、このような場合に、第三セクターが主体となることで、確実かつ円滑な進捗が可能となることが考えられます。</w:t>
      </w:r>
    </w:p>
    <w:sectPr w:rsidR="00767C19" w:rsidRPr="009A27EC" w:rsidSect="00C545C1">
      <w:footerReference w:type="default" r:id="rId11"/>
      <w:pgSz w:w="11906" w:h="16838" w:code="9"/>
      <w:pgMar w:top="1985" w:right="1276"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EF" w:rsidRDefault="00223FEF" w:rsidP="00580966">
      <w:r>
        <w:separator/>
      </w:r>
    </w:p>
  </w:endnote>
  <w:endnote w:type="continuationSeparator" w:id="1">
    <w:p w:rsidR="00223FEF" w:rsidRDefault="00223FEF" w:rsidP="005809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CE0" w:rsidRDefault="008E7CE0">
    <w:pPr>
      <w:pStyle w:val="a9"/>
      <w:jc w:val="center"/>
    </w:pPr>
  </w:p>
  <w:p w:rsidR="007F384D" w:rsidRDefault="007F384D" w:rsidP="00EC3DE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7439"/>
      <w:docPartObj>
        <w:docPartGallery w:val="Page Numbers (Bottom of Page)"/>
        <w:docPartUnique/>
      </w:docPartObj>
    </w:sdtPr>
    <w:sdtContent>
      <w:p w:rsidR="00EC3DE3" w:rsidRDefault="00502311">
        <w:pPr>
          <w:pStyle w:val="a9"/>
          <w:jc w:val="center"/>
        </w:pPr>
        <w:fldSimple w:instr=" PAGE   \* MERGEFORMAT ">
          <w:r w:rsidR="00200685" w:rsidRPr="00200685">
            <w:rPr>
              <w:noProof/>
              <w:lang w:val="ja-JP"/>
            </w:rPr>
            <w:t>-</w:t>
          </w:r>
          <w:r w:rsidR="00200685">
            <w:rPr>
              <w:noProof/>
            </w:rPr>
            <w:t xml:space="preserve"> 3 -</w:t>
          </w:r>
        </w:fldSimple>
      </w:p>
    </w:sdtContent>
  </w:sdt>
  <w:p w:rsidR="007F384D" w:rsidRDefault="007F384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84D" w:rsidRDefault="008E7CE0">
    <w:pPr>
      <w:pStyle w:val="a9"/>
    </w:pPr>
    <w:r>
      <w:rPr>
        <w:rFonts w:hint="eastAsia"/>
      </w:rPr>
      <w:b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1E3" w:rsidRDefault="00502311">
    <w:pPr>
      <w:pStyle w:val="a9"/>
      <w:jc w:val="center"/>
    </w:pPr>
    <w:fldSimple w:instr=" PAGE   \* MERGEFORMAT ">
      <w:r w:rsidR="00200685" w:rsidRPr="00200685">
        <w:rPr>
          <w:noProof/>
          <w:lang w:val="ja-JP"/>
        </w:rPr>
        <w:t>9</w:t>
      </w:r>
    </w:fldSimple>
  </w:p>
  <w:p w:rsidR="00C751E3" w:rsidRDefault="00C751E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EF" w:rsidRDefault="00223FEF" w:rsidP="00580966">
      <w:r>
        <w:separator/>
      </w:r>
    </w:p>
  </w:footnote>
  <w:footnote w:type="continuationSeparator" w:id="1">
    <w:p w:rsidR="00223FEF" w:rsidRDefault="00223FEF" w:rsidP="005809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34BD"/>
    <w:multiLevelType w:val="hybridMultilevel"/>
    <w:tmpl w:val="7CDECBBC"/>
    <w:lvl w:ilvl="0" w:tplc="A9CC68B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F361EB3"/>
    <w:multiLevelType w:val="hybridMultilevel"/>
    <w:tmpl w:val="303E03B0"/>
    <w:lvl w:ilvl="0" w:tplc="9EC47356">
      <w:start w:val="1"/>
      <w:numFmt w:val="decimalFullWidth"/>
      <w:lvlText w:val="（%1）"/>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19F78D8"/>
    <w:multiLevelType w:val="hybridMultilevel"/>
    <w:tmpl w:val="10087DFE"/>
    <w:lvl w:ilvl="0" w:tplc="59C8DB4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2B615548"/>
    <w:multiLevelType w:val="hybridMultilevel"/>
    <w:tmpl w:val="68D2A146"/>
    <w:lvl w:ilvl="0" w:tplc="147AD75C">
      <w:start w:val="1"/>
      <w:numFmt w:val="decimalFullWidth"/>
      <w:lvlText w:val="（%1）"/>
      <w:lvlJc w:val="left"/>
      <w:pPr>
        <w:ind w:left="1110" w:hanging="8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2EB80FF4"/>
    <w:multiLevelType w:val="hybridMultilevel"/>
    <w:tmpl w:val="742295C4"/>
    <w:lvl w:ilvl="0" w:tplc="06B6E5A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22662C7"/>
    <w:multiLevelType w:val="hybridMultilevel"/>
    <w:tmpl w:val="9FF4F674"/>
    <w:lvl w:ilvl="0" w:tplc="B6903A6C">
      <w:start w:val="1"/>
      <w:numFmt w:val="decimalFullWidth"/>
      <w:lvlText w:val="（%1）"/>
      <w:lvlJc w:val="left"/>
      <w:pPr>
        <w:ind w:left="1110" w:hanging="885"/>
      </w:pPr>
      <w:rPr>
        <w:rFonts w:hint="default"/>
      </w:rPr>
    </w:lvl>
    <w:lvl w:ilvl="1" w:tplc="6DC0C0EE">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4D5D2B00"/>
    <w:multiLevelType w:val="hybridMultilevel"/>
    <w:tmpl w:val="C2C48A76"/>
    <w:lvl w:ilvl="0" w:tplc="417CAA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51A914A6"/>
    <w:multiLevelType w:val="hybridMultilevel"/>
    <w:tmpl w:val="C06C86FC"/>
    <w:lvl w:ilvl="0" w:tplc="103C42FE">
      <w:start w:val="1"/>
      <w:numFmt w:val="decimalFullWidth"/>
      <w:lvlText w:val="（%1）"/>
      <w:lvlJc w:val="left"/>
      <w:pPr>
        <w:ind w:left="945" w:hanging="720"/>
      </w:pPr>
      <w:rPr>
        <w:rFonts w:hint="default"/>
      </w:rPr>
    </w:lvl>
    <w:lvl w:ilvl="1" w:tplc="DDDE4474">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646EA3"/>
    <w:multiLevelType w:val="hybridMultilevel"/>
    <w:tmpl w:val="497A3F4E"/>
    <w:lvl w:ilvl="0" w:tplc="4B8CADF0">
      <w:start w:val="1"/>
      <w:numFmt w:val="decimalFullWidth"/>
      <w:lvlText w:val="（%1）"/>
      <w:lvlJc w:val="left"/>
      <w:pPr>
        <w:ind w:left="1080" w:hanging="8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nsid w:val="5F3C427A"/>
    <w:multiLevelType w:val="hybridMultilevel"/>
    <w:tmpl w:val="2240406C"/>
    <w:lvl w:ilvl="0" w:tplc="2B98C60A">
      <w:start w:val="1"/>
      <w:numFmt w:val="decimalFullWidth"/>
      <w:lvlText w:val="（%1）"/>
      <w:lvlJc w:val="left"/>
      <w:pPr>
        <w:ind w:left="1155" w:hanging="88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nsid w:val="6A3F32E3"/>
    <w:multiLevelType w:val="hybridMultilevel"/>
    <w:tmpl w:val="6C708184"/>
    <w:lvl w:ilvl="0" w:tplc="8CECC3FA">
      <w:start w:val="1"/>
      <w:numFmt w:val="decimalFullWidth"/>
      <w:lvlText w:val="（%1）"/>
      <w:lvlJc w:val="left"/>
      <w:pPr>
        <w:ind w:left="1110" w:hanging="885"/>
      </w:pPr>
      <w:rPr>
        <w:rFonts w:hint="default"/>
      </w:rPr>
    </w:lvl>
    <w:lvl w:ilvl="1" w:tplc="21042134">
      <w:start w:val="1"/>
      <w:numFmt w:val="decimalEnclosedCircle"/>
      <w:lvlText w:val="%2"/>
      <w:lvlJc w:val="left"/>
      <w:pPr>
        <w:ind w:left="1005" w:hanging="360"/>
      </w:pPr>
      <w:rPr>
        <w:rFonts w:hint="default"/>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6"/>
  </w:num>
  <w:num w:numId="3">
    <w:abstractNumId w:val="7"/>
  </w:num>
  <w:num w:numId="4">
    <w:abstractNumId w:val="0"/>
  </w:num>
  <w:num w:numId="5">
    <w:abstractNumId w:val="4"/>
  </w:num>
  <w:num w:numId="6">
    <w:abstractNumId w:val="9"/>
  </w:num>
  <w:num w:numId="7">
    <w:abstractNumId w:val="1"/>
  </w:num>
  <w:num w:numId="8">
    <w:abstractNumId w:val="3"/>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8">
      <v:textbox inset="5.85pt,.7pt,5.85pt,.7pt"/>
      <o:colormenu v:ext="edit" fillcolor="none [2409]" strokecolor="none [2409]"/>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721"/>
    <w:rsid w:val="000024A9"/>
    <w:rsid w:val="00012BC7"/>
    <w:rsid w:val="000157F3"/>
    <w:rsid w:val="00016209"/>
    <w:rsid w:val="00026CAB"/>
    <w:rsid w:val="00030985"/>
    <w:rsid w:val="00041D8D"/>
    <w:rsid w:val="00051A62"/>
    <w:rsid w:val="00052122"/>
    <w:rsid w:val="00055BFA"/>
    <w:rsid w:val="00061A8A"/>
    <w:rsid w:val="00061B41"/>
    <w:rsid w:val="00064A20"/>
    <w:rsid w:val="00071207"/>
    <w:rsid w:val="000840D9"/>
    <w:rsid w:val="00096DC5"/>
    <w:rsid w:val="000A16EF"/>
    <w:rsid w:val="000A6CA9"/>
    <w:rsid w:val="000B6EBF"/>
    <w:rsid w:val="000C10A4"/>
    <w:rsid w:val="000C5461"/>
    <w:rsid w:val="000D3B66"/>
    <w:rsid w:val="000E6432"/>
    <w:rsid w:val="000F4F36"/>
    <w:rsid w:val="000F58D7"/>
    <w:rsid w:val="000F731B"/>
    <w:rsid w:val="001072C1"/>
    <w:rsid w:val="001074F1"/>
    <w:rsid w:val="00116147"/>
    <w:rsid w:val="00116FAE"/>
    <w:rsid w:val="00117D4A"/>
    <w:rsid w:val="0012544E"/>
    <w:rsid w:val="00127AB6"/>
    <w:rsid w:val="00130A29"/>
    <w:rsid w:val="00131C04"/>
    <w:rsid w:val="00131C24"/>
    <w:rsid w:val="00142D4B"/>
    <w:rsid w:val="0014430B"/>
    <w:rsid w:val="001451D6"/>
    <w:rsid w:val="00147417"/>
    <w:rsid w:val="00160D7B"/>
    <w:rsid w:val="00172F98"/>
    <w:rsid w:val="00180B47"/>
    <w:rsid w:val="001878EF"/>
    <w:rsid w:val="001941AE"/>
    <w:rsid w:val="001A135D"/>
    <w:rsid w:val="001A7358"/>
    <w:rsid w:val="001B0487"/>
    <w:rsid w:val="001B0D6B"/>
    <w:rsid w:val="001B4886"/>
    <w:rsid w:val="001C39D8"/>
    <w:rsid w:val="001D0064"/>
    <w:rsid w:val="001D0150"/>
    <w:rsid w:val="001D09F1"/>
    <w:rsid w:val="001E03EB"/>
    <w:rsid w:val="001E4821"/>
    <w:rsid w:val="001F2372"/>
    <w:rsid w:val="001F364D"/>
    <w:rsid w:val="001F37FF"/>
    <w:rsid w:val="001F6E54"/>
    <w:rsid w:val="00200685"/>
    <w:rsid w:val="00214206"/>
    <w:rsid w:val="002206CB"/>
    <w:rsid w:val="00223FEF"/>
    <w:rsid w:val="00230B9C"/>
    <w:rsid w:val="002356F3"/>
    <w:rsid w:val="002458C0"/>
    <w:rsid w:val="00260007"/>
    <w:rsid w:val="00260F70"/>
    <w:rsid w:val="00263C0C"/>
    <w:rsid w:val="00264DE9"/>
    <w:rsid w:val="00291E7B"/>
    <w:rsid w:val="002B43C9"/>
    <w:rsid w:val="002B692A"/>
    <w:rsid w:val="002C2463"/>
    <w:rsid w:val="002C36D3"/>
    <w:rsid w:val="002F0D87"/>
    <w:rsid w:val="002F799B"/>
    <w:rsid w:val="00301E54"/>
    <w:rsid w:val="003026A2"/>
    <w:rsid w:val="003039B4"/>
    <w:rsid w:val="003078FD"/>
    <w:rsid w:val="00316597"/>
    <w:rsid w:val="003226ED"/>
    <w:rsid w:val="00326E9F"/>
    <w:rsid w:val="00336446"/>
    <w:rsid w:val="00343E2F"/>
    <w:rsid w:val="00347651"/>
    <w:rsid w:val="00360898"/>
    <w:rsid w:val="00361EED"/>
    <w:rsid w:val="0036629C"/>
    <w:rsid w:val="00366C92"/>
    <w:rsid w:val="0037576E"/>
    <w:rsid w:val="003764F1"/>
    <w:rsid w:val="00376C6E"/>
    <w:rsid w:val="00384A21"/>
    <w:rsid w:val="00394219"/>
    <w:rsid w:val="00396774"/>
    <w:rsid w:val="003A1DA3"/>
    <w:rsid w:val="003B48D8"/>
    <w:rsid w:val="003C654A"/>
    <w:rsid w:val="003E456B"/>
    <w:rsid w:val="003E5770"/>
    <w:rsid w:val="003F258F"/>
    <w:rsid w:val="003F7E32"/>
    <w:rsid w:val="00422459"/>
    <w:rsid w:val="00431D11"/>
    <w:rsid w:val="0043570A"/>
    <w:rsid w:val="0043786E"/>
    <w:rsid w:val="00442185"/>
    <w:rsid w:val="00443D8E"/>
    <w:rsid w:val="004477A4"/>
    <w:rsid w:val="004503F3"/>
    <w:rsid w:val="00453E00"/>
    <w:rsid w:val="00460E38"/>
    <w:rsid w:val="00466E04"/>
    <w:rsid w:val="00474CD1"/>
    <w:rsid w:val="004817D0"/>
    <w:rsid w:val="004A48C2"/>
    <w:rsid w:val="004C0281"/>
    <w:rsid w:val="004C2AE3"/>
    <w:rsid w:val="004E1DD6"/>
    <w:rsid w:val="004E645A"/>
    <w:rsid w:val="00502311"/>
    <w:rsid w:val="005038E0"/>
    <w:rsid w:val="005079D5"/>
    <w:rsid w:val="005271B7"/>
    <w:rsid w:val="00532263"/>
    <w:rsid w:val="00535C76"/>
    <w:rsid w:val="00537A5D"/>
    <w:rsid w:val="00540251"/>
    <w:rsid w:val="0054082A"/>
    <w:rsid w:val="00545996"/>
    <w:rsid w:val="00547400"/>
    <w:rsid w:val="00555C6C"/>
    <w:rsid w:val="00565F5E"/>
    <w:rsid w:val="00571211"/>
    <w:rsid w:val="0057674D"/>
    <w:rsid w:val="005803BE"/>
    <w:rsid w:val="00580966"/>
    <w:rsid w:val="00582B4D"/>
    <w:rsid w:val="00584D56"/>
    <w:rsid w:val="005855F3"/>
    <w:rsid w:val="00591687"/>
    <w:rsid w:val="005965F6"/>
    <w:rsid w:val="00597E82"/>
    <w:rsid w:val="005A2697"/>
    <w:rsid w:val="005A3080"/>
    <w:rsid w:val="005A448C"/>
    <w:rsid w:val="005A4595"/>
    <w:rsid w:val="005A47BA"/>
    <w:rsid w:val="005C50C3"/>
    <w:rsid w:val="005C659E"/>
    <w:rsid w:val="005D243D"/>
    <w:rsid w:val="005D2B0E"/>
    <w:rsid w:val="005E4BE2"/>
    <w:rsid w:val="005F5EFB"/>
    <w:rsid w:val="00604496"/>
    <w:rsid w:val="00604BEB"/>
    <w:rsid w:val="00604C69"/>
    <w:rsid w:val="0060621C"/>
    <w:rsid w:val="00615C0F"/>
    <w:rsid w:val="0062316C"/>
    <w:rsid w:val="00625DE6"/>
    <w:rsid w:val="006265F9"/>
    <w:rsid w:val="00627B12"/>
    <w:rsid w:val="006339C4"/>
    <w:rsid w:val="00640AFE"/>
    <w:rsid w:val="0064411F"/>
    <w:rsid w:val="00645479"/>
    <w:rsid w:val="00671EA9"/>
    <w:rsid w:val="00675320"/>
    <w:rsid w:val="0068216B"/>
    <w:rsid w:val="006901C0"/>
    <w:rsid w:val="006A56A5"/>
    <w:rsid w:val="006C083A"/>
    <w:rsid w:val="006E17A2"/>
    <w:rsid w:val="006E27A8"/>
    <w:rsid w:val="006F06B4"/>
    <w:rsid w:val="00701D3A"/>
    <w:rsid w:val="00701FE9"/>
    <w:rsid w:val="00702FC9"/>
    <w:rsid w:val="00707428"/>
    <w:rsid w:val="007203EF"/>
    <w:rsid w:val="00723D2F"/>
    <w:rsid w:val="00723F98"/>
    <w:rsid w:val="0073003D"/>
    <w:rsid w:val="007318A2"/>
    <w:rsid w:val="0074413F"/>
    <w:rsid w:val="00752063"/>
    <w:rsid w:val="00756DEE"/>
    <w:rsid w:val="00757F2C"/>
    <w:rsid w:val="00767C19"/>
    <w:rsid w:val="00773C82"/>
    <w:rsid w:val="007753BA"/>
    <w:rsid w:val="00783988"/>
    <w:rsid w:val="00787ED0"/>
    <w:rsid w:val="00792AD6"/>
    <w:rsid w:val="00794B19"/>
    <w:rsid w:val="00794CDE"/>
    <w:rsid w:val="00794DB1"/>
    <w:rsid w:val="007A5A80"/>
    <w:rsid w:val="007B416B"/>
    <w:rsid w:val="007C0BE5"/>
    <w:rsid w:val="007C1BD8"/>
    <w:rsid w:val="007E47AC"/>
    <w:rsid w:val="007F0C60"/>
    <w:rsid w:val="007F0E02"/>
    <w:rsid w:val="007F384D"/>
    <w:rsid w:val="007F7D4A"/>
    <w:rsid w:val="00814117"/>
    <w:rsid w:val="0082665B"/>
    <w:rsid w:val="008318E8"/>
    <w:rsid w:val="00835FF5"/>
    <w:rsid w:val="00841ACB"/>
    <w:rsid w:val="0085677F"/>
    <w:rsid w:val="008729DE"/>
    <w:rsid w:val="00883561"/>
    <w:rsid w:val="00885492"/>
    <w:rsid w:val="00885DC6"/>
    <w:rsid w:val="00886A9B"/>
    <w:rsid w:val="00897DF8"/>
    <w:rsid w:val="008A04C1"/>
    <w:rsid w:val="008A3EE1"/>
    <w:rsid w:val="008B6D54"/>
    <w:rsid w:val="008B709B"/>
    <w:rsid w:val="008C0A2E"/>
    <w:rsid w:val="008C3B7F"/>
    <w:rsid w:val="008C4ED7"/>
    <w:rsid w:val="008E4A4A"/>
    <w:rsid w:val="008E51F5"/>
    <w:rsid w:val="008E7CE0"/>
    <w:rsid w:val="00907ED3"/>
    <w:rsid w:val="009117F0"/>
    <w:rsid w:val="00915DA3"/>
    <w:rsid w:val="00917C4B"/>
    <w:rsid w:val="00922B58"/>
    <w:rsid w:val="00923D47"/>
    <w:rsid w:val="0092613A"/>
    <w:rsid w:val="00927315"/>
    <w:rsid w:val="00946E6A"/>
    <w:rsid w:val="0095165D"/>
    <w:rsid w:val="009576BC"/>
    <w:rsid w:val="00966A3C"/>
    <w:rsid w:val="00980103"/>
    <w:rsid w:val="00991498"/>
    <w:rsid w:val="00994F61"/>
    <w:rsid w:val="009A27EC"/>
    <w:rsid w:val="009A3855"/>
    <w:rsid w:val="009A4156"/>
    <w:rsid w:val="009B7FF1"/>
    <w:rsid w:val="009D25E7"/>
    <w:rsid w:val="009D38A4"/>
    <w:rsid w:val="009E2F7E"/>
    <w:rsid w:val="009F08F0"/>
    <w:rsid w:val="00A01205"/>
    <w:rsid w:val="00A1096D"/>
    <w:rsid w:val="00A13B92"/>
    <w:rsid w:val="00A14703"/>
    <w:rsid w:val="00A15303"/>
    <w:rsid w:val="00A153F7"/>
    <w:rsid w:val="00A15D58"/>
    <w:rsid w:val="00A201F0"/>
    <w:rsid w:val="00A22598"/>
    <w:rsid w:val="00A240D7"/>
    <w:rsid w:val="00A34C78"/>
    <w:rsid w:val="00A425D3"/>
    <w:rsid w:val="00A47E8F"/>
    <w:rsid w:val="00A74C7C"/>
    <w:rsid w:val="00A924E0"/>
    <w:rsid w:val="00AA629C"/>
    <w:rsid w:val="00AC4B0A"/>
    <w:rsid w:val="00AE456F"/>
    <w:rsid w:val="00AF0558"/>
    <w:rsid w:val="00AF6213"/>
    <w:rsid w:val="00AF6974"/>
    <w:rsid w:val="00AF7DD3"/>
    <w:rsid w:val="00B02A62"/>
    <w:rsid w:val="00B077C0"/>
    <w:rsid w:val="00B1223D"/>
    <w:rsid w:val="00B21BB5"/>
    <w:rsid w:val="00B30482"/>
    <w:rsid w:val="00B4429B"/>
    <w:rsid w:val="00B71FD1"/>
    <w:rsid w:val="00B73D3D"/>
    <w:rsid w:val="00B756BD"/>
    <w:rsid w:val="00B7576A"/>
    <w:rsid w:val="00B75F17"/>
    <w:rsid w:val="00B84D06"/>
    <w:rsid w:val="00B9254F"/>
    <w:rsid w:val="00B92817"/>
    <w:rsid w:val="00BB0E1A"/>
    <w:rsid w:val="00BB2BD8"/>
    <w:rsid w:val="00BB2D0D"/>
    <w:rsid w:val="00BB7CAC"/>
    <w:rsid w:val="00BC7476"/>
    <w:rsid w:val="00BD2734"/>
    <w:rsid w:val="00BD733A"/>
    <w:rsid w:val="00BF4DA1"/>
    <w:rsid w:val="00BF5408"/>
    <w:rsid w:val="00BF62AC"/>
    <w:rsid w:val="00BF6712"/>
    <w:rsid w:val="00C17059"/>
    <w:rsid w:val="00C21952"/>
    <w:rsid w:val="00C545C1"/>
    <w:rsid w:val="00C5542F"/>
    <w:rsid w:val="00C55547"/>
    <w:rsid w:val="00C57E8A"/>
    <w:rsid w:val="00C751E3"/>
    <w:rsid w:val="00C7726E"/>
    <w:rsid w:val="00C812D1"/>
    <w:rsid w:val="00C82F14"/>
    <w:rsid w:val="00C9717D"/>
    <w:rsid w:val="00C97C5C"/>
    <w:rsid w:val="00CA4E91"/>
    <w:rsid w:val="00CA4F0B"/>
    <w:rsid w:val="00CB3752"/>
    <w:rsid w:val="00CB665A"/>
    <w:rsid w:val="00CB7FA0"/>
    <w:rsid w:val="00CC4AD8"/>
    <w:rsid w:val="00CC6DBF"/>
    <w:rsid w:val="00CD2F4B"/>
    <w:rsid w:val="00CD3563"/>
    <w:rsid w:val="00CD557F"/>
    <w:rsid w:val="00CD7AF2"/>
    <w:rsid w:val="00CE0BC6"/>
    <w:rsid w:val="00CE1D67"/>
    <w:rsid w:val="00CF7AA6"/>
    <w:rsid w:val="00D11721"/>
    <w:rsid w:val="00D16AB9"/>
    <w:rsid w:val="00D172E9"/>
    <w:rsid w:val="00D34663"/>
    <w:rsid w:val="00D34FD4"/>
    <w:rsid w:val="00D5481F"/>
    <w:rsid w:val="00D55BD1"/>
    <w:rsid w:val="00D62318"/>
    <w:rsid w:val="00D66956"/>
    <w:rsid w:val="00D669C1"/>
    <w:rsid w:val="00D7463A"/>
    <w:rsid w:val="00D77519"/>
    <w:rsid w:val="00D77A8C"/>
    <w:rsid w:val="00D91708"/>
    <w:rsid w:val="00DA4B95"/>
    <w:rsid w:val="00DA52AB"/>
    <w:rsid w:val="00DA79B1"/>
    <w:rsid w:val="00DB6BEB"/>
    <w:rsid w:val="00DC2BB4"/>
    <w:rsid w:val="00DC5CEB"/>
    <w:rsid w:val="00DE4D1C"/>
    <w:rsid w:val="00DF1C11"/>
    <w:rsid w:val="00DF7801"/>
    <w:rsid w:val="00E000A9"/>
    <w:rsid w:val="00E2108D"/>
    <w:rsid w:val="00E227A1"/>
    <w:rsid w:val="00E34A7F"/>
    <w:rsid w:val="00E43F28"/>
    <w:rsid w:val="00E46557"/>
    <w:rsid w:val="00E66E94"/>
    <w:rsid w:val="00E82107"/>
    <w:rsid w:val="00E84365"/>
    <w:rsid w:val="00E900DD"/>
    <w:rsid w:val="00E90C1F"/>
    <w:rsid w:val="00E90C7D"/>
    <w:rsid w:val="00E91857"/>
    <w:rsid w:val="00E95CD0"/>
    <w:rsid w:val="00EA0239"/>
    <w:rsid w:val="00EA1A5A"/>
    <w:rsid w:val="00EA523A"/>
    <w:rsid w:val="00EB397F"/>
    <w:rsid w:val="00EB4C79"/>
    <w:rsid w:val="00EC127B"/>
    <w:rsid w:val="00EC3DE3"/>
    <w:rsid w:val="00EC5610"/>
    <w:rsid w:val="00EC71AE"/>
    <w:rsid w:val="00ED10E6"/>
    <w:rsid w:val="00ED2AF1"/>
    <w:rsid w:val="00F07FC0"/>
    <w:rsid w:val="00F12D52"/>
    <w:rsid w:val="00F25710"/>
    <w:rsid w:val="00F3346D"/>
    <w:rsid w:val="00F41CBA"/>
    <w:rsid w:val="00F45159"/>
    <w:rsid w:val="00F57878"/>
    <w:rsid w:val="00F86CD5"/>
    <w:rsid w:val="00F87162"/>
    <w:rsid w:val="00FA2CDA"/>
    <w:rsid w:val="00FA4BC7"/>
    <w:rsid w:val="00FA6016"/>
    <w:rsid w:val="00FB2024"/>
    <w:rsid w:val="00FC0012"/>
    <w:rsid w:val="00FC321B"/>
    <w:rsid w:val="00FE1CDF"/>
    <w:rsid w:val="00FF0873"/>
    <w:rsid w:val="00FF1864"/>
    <w:rsid w:val="00FF546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colormenu v:ext="edit" fillcolor="none [2409]" strokecolor="none [2409]"/>
    </o:shapedefaults>
    <o:shapelayout v:ext="edit">
      <o:idmap v:ext="edit" data="1"/>
      <o:rules v:ext="edit">
        <o:r id="V:Rule20" type="connector" idref="#_x0000_s1070"/>
        <o:r id="V:Rule21" type="connector" idref="#_x0000_s1099"/>
        <o:r id="V:Rule22" type="connector" idref="#_x0000_s1079"/>
        <o:r id="V:Rule23" type="connector" idref="#_x0000_s1097"/>
        <o:r id="V:Rule24" type="connector" idref="#_x0000_s1098"/>
        <o:r id="V:Rule25" type="connector" idref="#_x0000_s1095"/>
        <o:r id="V:Rule26" type="connector" idref="#_x0000_s1072"/>
        <o:r id="V:Rule27" type="connector" idref="#_x0000_s1102"/>
        <o:r id="V:Rule28" type="connector" idref="#_x0000_s1073"/>
        <o:r id="V:Rule29" type="connector" idref="#_x0000_s1096"/>
        <o:r id="V:Rule30" type="connector" idref="#_x0000_s1071"/>
        <o:r id="V:Rule31" type="connector" idref="#_x0000_s1094"/>
        <o:r id="V:Rule32" type="connector" idref="#_x0000_s1092"/>
        <o:r id="V:Rule33" type="connector" idref="#_x0000_s1093"/>
        <o:r id="V:Rule34" type="connector" idref="#_x0000_s1104"/>
        <o:r id="V:Rule35" type="connector" idref="#_x0000_s1077"/>
        <o:r id="V:Rule36" type="connector" idref="#_x0000_s1101"/>
        <o:r id="V:Rule37" type="connector" idref="#_x0000_s1069"/>
        <o:r id="V:Rule38"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1721"/>
  </w:style>
  <w:style w:type="character" w:customStyle="1" w:styleId="a4">
    <w:name w:val="日付 (文字)"/>
    <w:basedOn w:val="a0"/>
    <w:link w:val="a3"/>
    <w:uiPriority w:val="99"/>
    <w:semiHidden/>
    <w:rsid w:val="00D11721"/>
  </w:style>
  <w:style w:type="paragraph" w:styleId="a5">
    <w:name w:val="List Paragraph"/>
    <w:basedOn w:val="a"/>
    <w:uiPriority w:val="34"/>
    <w:qFormat/>
    <w:rsid w:val="00D11721"/>
    <w:pPr>
      <w:ind w:leftChars="400" w:left="840"/>
    </w:pPr>
  </w:style>
  <w:style w:type="table" w:styleId="a6">
    <w:name w:val="Table Grid"/>
    <w:basedOn w:val="a1"/>
    <w:uiPriority w:val="59"/>
    <w:rsid w:val="007F0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580966"/>
    <w:pPr>
      <w:tabs>
        <w:tab w:val="center" w:pos="4252"/>
        <w:tab w:val="right" w:pos="8504"/>
      </w:tabs>
      <w:snapToGrid w:val="0"/>
    </w:pPr>
  </w:style>
  <w:style w:type="character" w:customStyle="1" w:styleId="a8">
    <w:name w:val="ヘッダー (文字)"/>
    <w:basedOn w:val="a0"/>
    <w:link w:val="a7"/>
    <w:uiPriority w:val="99"/>
    <w:semiHidden/>
    <w:rsid w:val="00580966"/>
  </w:style>
  <w:style w:type="paragraph" w:styleId="a9">
    <w:name w:val="footer"/>
    <w:basedOn w:val="a"/>
    <w:link w:val="aa"/>
    <w:uiPriority w:val="99"/>
    <w:unhideWhenUsed/>
    <w:rsid w:val="00580966"/>
    <w:pPr>
      <w:tabs>
        <w:tab w:val="center" w:pos="4252"/>
        <w:tab w:val="right" w:pos="8504"/>
      </w:tabs>
      <w:snapToGrid w:val="0"/>
    </w:pPr>
  </w:style>
  <w:style w:type="character" w:customStyle="1" w:styleId="aa">
    <w:name w:val="フッター (文字)"/>
    <w:basedOn w:val="a0"/>
    <w:link w:val="a9"/>
    <w:uiPriority w:val="99"/>
    <w:rsid w:val="00580966"/>
  </w:style>
  <w:style w:type="paragraph" w:styleId="ab">
    <w:name w:val="Balloon Text"/>
    <w:basedOn w:val="a"/>
    <w:link w:val="ac"/>
    <w:uiPriority w:val="99"/>
    <w:semiHidden/>
    <w:unhideWhenUsed/>
    <w:rsid w:val="00096D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6DC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2932-2FC6-4F7A-B8AB-1D12A89E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1</Pages>
  <Words>1431</Words>
  <Characters>8160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0293</dc:creator>
  <cp:lastModifiedBy>0293</cp:lastModifiedBy>
  <cp:revision>22</cp:revision>
  <cp:lastPrinted>2018-09-05T02:43:00Z</cp:lastPrinted>
  <dcterms:created xsi:type="dcterms:W3CDTF">2018-08-14T07:46:00Z</dcterms:created>
  <dcterms:modified xsi:type="dcterms:W3CDTF">2018-09-05T02:47:00Z</dcterms:modified>
</cp:coreProperties>
</file>